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A06BD" w14:textId="77777777" w:rsidR="009F0A62" w:rsidRPr="00386B69" w:rsidRDefault="009F0A62" w:rsidP="00AC0E2C">
      <w:pPr>
        <w:spacing w:after="240"/>
        <w:ind w:left="720" w:right="576"/>
        <w:jc w:val="center"/>
        <w:rPr>
          <w:rFonts w:asciiTheme="majorHAnsi" w:hAnsiTheme="majorHAnsi" w:cstheme="majorHAnsi"/>
          <w:b/>
          <w:sz w:val="32"/>
          <w:szCs w:val="32"/>
        </w:rPr>
      </w:pPr>
    </w:p>
    <w:p w14:paraId="56D4E4C5" w14:textId="2470D98A" w:rsidR="007B7217" w:rsidRDefault="007B7217" w:rsidP="007B7217">
      <w:pPr>
        <w:spacing w:after="240"/>
        <w:ind w:left="720" w:right="576"/>
        <w:jc w:val="center"/>
        <w:rPr>
          <w:rFonts w:asciiTheme="majorHAnsi" w:hAnsiTheme="majorHAnsi" w:cstheme="majorHAnsi"/>
          <w:b/>
          <w:sz w:val="32"/>
          <w:szCs w:val="32"/>
        </w:rPr>
      </w:pPr>
      <w:r w:rsidRPr="00E855FB">
        <w:rPr>
          <w:rFonts w:ascii="Calibri Light" w:eastAsia="Calibri" w:hAnsi="Calibri Light" w:cs="Calibri Light"/>
          <w:noProof/>
          <w:color w:val="31849B"/>
          <w:sz w:val="24"/>
          <w:szCs w:val="24"/>
        </w:rPr>
        <w:drawing>
          <wp:inline distT="0" distB="0" distL="0" distR="0" wp14:anchorId="3CA52575" wp14:editId="269AD0DF">
            <wp:extent cx="519953" cy="88862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 grb Srbije A4-cmy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50" cy="901440"/>
                    </a:xfrm>
                    <a:prstGeom prst="rect">
                      <a:avLst/>
                    </a:prstGeom>
                  </pic:spPr>
                </pic:pic>
              </a:graphicData>
            </a:graphic>
          </wp:inline>
        </w:drawing>
      </w:r>
    </w:p>
    <w:p w14:paraId="297545FE" w14:textId="0F2E720F" w:rsidR="007E15DB" w:rsidRPr="00B95F7C" w:rsidRDefault="003E6B7A" w:rsidP="00AC0E2C">
      <w:pPr>
        <w:spacing w:after="240"/>
        <w:ind w:left="720" w:right="576"/>
        <w:jc w:val="center"/>
        <w:rPr>
          <w:rFonts w:asciiTheme="majorHAnsi" w:hAnsiTheme="majorHAnsi" w:cstheme="majorHAnsi"/>
          <w:b/>
          <w:sz w:val="24"/>
          <w:szCs w:val="24"/>
          <w:lang w:val="it-IT"/>
        </w:rPr>
      </w:pPr>
      <w:r w:rsidRPr="00B95F7C">
        <w:rPr>
          <w:rFonts w:asciiTheme="majorHAnsi" w:hAnsiTheme="majorHAnsi" w:cstheme="majorHAnsi"/>
          <w:b/>
          <w:sz w:val="24"/>
          <w:szCs w:val="24"/>
          <w:lang w:val="it-IT"/>
        </w:rPr>
        <w:t>REPUBLIKA SRBIJA</w:t>
      </w:r>
    </w:p>
    <w:p w14:paraId="3788A6DF" w14:textId="25FC6611" w:rsidR="00F46ED2" w:rsidRPr="00B95F7C" w:rsidRDefault="003E6B7A" w:rsidP="00AC0E2C">
      <w:pPr>
        <w:spacing w:after="240"/>
        <w:ind w:left="720" w:right="576"/>
        <w:jc w:val="center"/>
        <w:rPr>
          <w:rFonts w:asciiTheme="majorHAnsi" w:hAnsiTheme="majorHAnsi" w:cstheme="majorHAnsi"/>
          <w:b/>
          <w:sz w:val="24"/>
          <w:szCs w:val="24"/>
          <w:lang w:val="it-IT"/>
        </w:rPr>
      </w:pPr>
      <w:r w:rsidRPr="00B95F7C">
        <w:rPr>
          <w:rFonts w:cstheme="minorHAnsi"/>
          <w:sz w:val="24"/>
          <w:szCs w:val="24"/>
          <w:lang w:val="it-IT"/>
        </w:rPr>
        <w:t>Kancelari</w:t>
      </w:r>
      <w:r w:rsidR="00A263EC" w:rsidRPr="00B95F7C">
        <w:rPr>
          <w:rFonts w:cstheme="minorHAnsi"/>
          <w:sz w:val="24"/>
          <w:szCs w:val="24"/>
          <w:lang w:val="it-IT"/>
        </w:rPr>
        <w:t>ja za informacione tehnologije i</w:t>
      </w:r>
      <w:r w:rsidRPr="00B95F7C">
        <w:rPr>
          <w:rFonts w:cstheme="minorHAnsi"/>
          <w:sz w:val="24"/>
          <w:szCs w:val="24"/>
          <w:lang w:val="it-IT"/>
        </w:rPr>
        <w:t xml:space="preserve"> elektronsku upravu</w:t>
      </w:r>
      <w:r w:rsidR="00A31FA7" w:rsidRPr="00B95F7C">
        <w:rPr>
          <w:rFonts w:cstheme="minorHAnsi"/>
          <w:sz w:val="24"/>
          <w:szCs w:val="24"/>
          <w:lang w:val="it-IT"/>
        </w:rPr>
        <w:t> </w:t>
      </w:r>
    </w:p>
    <w:p w14:paraId="246CC90D"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7F7FF6AD"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51C6A737" w14:textId="77777777" w:rsidR="003E6B7A" w:rsidRPr="00B95F7C" w:rsidRDefault="003E6B7A" w:rsidP="00AC0E2C">
      <w:pPr>
        <w:spacing w:after="240"/>
        <w:ind w:left="720" w:right="576"/>
        <w:jc w:val="center"/>
        <w:rPr>
          <w:rFonts w:asciiTheme="majorHAnsi" w:hAnsiTheme="majorHAnsi" w:cstheme="majorHAnsi"/>
          <w:b/>
          <w:sz w:val="32"/>
          <w:szCs w:val="32"/>
          <w:lang w:val="it-IT"/>
        </w:rPr>
      </w:pPr>
      <w:r w:rsidRPr="00B95F7C">
        <w:rPr>
          <w:rFonts w:asciiTheme="majorHAnsi" w:hAnsiTheme="majorHAnsi" w:cstheme="majorHAnsi"/>
          <w:b/>
          <w:sz w:val="32"/>
          <w:szCs w:val="32"/>
          <w:lang w:val="it-IT"/>
        </w:rPr>
        <w:t>Projekat srpskog ekosistema za otporne, proverljive i inkluzivne usluge</w:t>
      </w:r>
    </w:p>
    <w:p w14:paraId="709CF829" w14:textId="56388802" w:rsidR="007E15DB" w:rsidRPr="00B95F7C" w:rsidRDefault="00811B0E" w:rsidP="00AC0E2C">
      <w:pPr>
        <w:spacing w:after="240"/>
        <w:ind w:left="720" w:right="576"/>
        <w:jc w:val="center"/>
        <w:rPr>
          <w:rFonts w:asciiTheme="majorHAnsi" w:hAnsiTheme="majorHAnsi" w:cstheme="majorHAnsi"/>
          <w:sz w:val="32"/>
          <w:szCs w:val="32"/>
          <w:lang w:val="it-IT"/>
        </w:rPr>
      </w:pPr>
      <w:r w:rsidRPr="00B95F7C">
        <w:rPr>
          <w:rFonts w:asciiTheme="majorHAnsi" w:hAnsiTheme="majorHAnsi" w:cstheme="majorHAnsi"/>
          <w:b/>
          <w:sz w:val="32"/>
          <w:szCs w:val="32"/>
          <w:lang w:val="it-IT"/>
        </w:rPr>
        <w:t>SERVIS (P514497)</w:t>
      </w:r>
    </w:p>
    <w:p w14:paraId="51C92B80"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06B2D0E3"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5F1DC7AC"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58195638"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246A5CDA" w14:textId="77777777" w:rsidR="009F0A62" w:rsidRPr="00B95F7C" w:rsidRDefault="009F0A62" w:rsidP="00AC0E2C">
      <w:pPr>
        <w:spacing w:after="240"/>
        <w:ind w:left="720" w:right="576"/>
        <w:jc w:val="center"/>
        <w:rPr>
          <w:rFonts w:asciiTheme="majorHAnsi" w:hAnsiTheme="majorHAnsi" w:cstheme="majorHAnsi"/>
          <w:b/>
          <w:sz w:val="32"/>
          <w:szCs w:val="32"/>
          <w:lang w:val="it-IT"/>
        </w:rPr>
      </w:pPr>
    </w:p>
    <w:p w14:paraId="50E92771" w14:textId="1E1F29D4" w:rsidR="007E15DB" w:rsidRPr="00B95F7C" w:rsidRDefault="003E6B7A" w:rsidP="00AC0E2C">
      <w:pPr>
        <w:spacing w:after="240"/>
        <w:ind w:left="720" w:right="576"/>
        <w:jc w:val="center"/>
        <w:rPr>
          <w:rFonts w:asciiTheme="majorHAnsi" w:hAnsiTheme="majorHAnsi" w:cstheme="majorHAnsi"/>
          <w:sz w:val="32"/>
          <w:szCs w:val="32"/>
          <w:lang w:val="it-IT"/>
        </w:rPr>
      </w:pPr>
      <w:r w:rsidRPr="00B95F7C">
        <w:rPr>
          <w:rFonts w:asciiTheme="majorHAnsi" w:hAnsiTheme="majorHAnsi" w:cstheme="majorHAnsi"/>
          <w:b/>
          <w:sz w:val="32"/>
          <w:szCs w:val="32"/>
          <w:lang w:val="it-IT"/>
        </w:rPr>
        <w:t xml:space="preserve">Plan </w:t>
      </w:r>
      <w:r w:rsidR="00E50DE5" w:rsidRPr="00B95F7C">
        <w:rPr>
          <w:rFonts w:asciiTheme="majorHAnsi" w:hAnsiTheme="majorHAnsi" w:cstheme="majorHAnsi"/>
          <w:b/>
          <w:sz w:val="32"/>
          <w:szCs w:val="32"/>
          <w:lang w:val="it-IT"/>
        </w:rPr>
        <w:t>angažovanja</w:t>
      </w:r>
      <w:r w:rsidRPr="00B95F7C">
        <w:rPr>
          <w:rFonts w:asciiTheme="majorHAnsi" w:hAnsiTheme="majorHAnsi" w:cstheme="majorHAnsi"/>
          <w:b/>
          <w:sz w:val="32"/>
          <w:szCs w:val="32"/>
          <w:lang w:val="it-IT"/>
        </w:rPr>
        <w:t xml:space="preserve"> zainteresovanih strana </w:t>
      </w:r>
      <w:r w:rsidR="00811B0E" w:rsidRPr="00B95F7C">
        <w:rPr>
          <w:rFonts w:asciiTheme="majorHAnsi" w:hAnsiTheme="majorHAnsi" w:cstheme="majorHAnsi"/>
          <w:b/>
          <w:sz w:val="32"/>
          <w:szCs w:val="32"/>
          <w:lang w:val="it-IT"/>
        </w:rPr>
        <w:t>(SEP)</w:t>
      </w:r>
    </w:p>
    <w:p w14:paraId="789F332B" w14:textId="77777777" w:rsidR="009F0A62" w:rsidRPr="00B95F7C" w:rsidRDefault="009F0A62" w:rsidP="00AC0E2C">
      <w:pPr>
        <w:ind w:left="720" w:right="576"/>
        <w:jc w:val="center"/>
        <w:rPr>
          <w:rFonts w:asciiTheme="majorHAnsi" w:hAnsiTheme="majorHAnsi" w:cstheme="majorHAnsi"/>
          <w:b/>
          <w:sz w:val="22"/>
          <w:lang w:val="it-IT"/>
        </w:rPr>
      </w:pPr>
    </w:p>
    <w:p w14:paraId="1FBC7BFC" w14:textId="77777777" w:rsidR="009F0A62" w:rsidRPr="00B95F7C" w:rsidRDefault="009F0A62" w:rsidP="00AC0E2C">
      <w:pPr>
        <w:ind w:left="720" w:right="576"/>
        <w:jc w:val="center"/>
        <w:rPr>
          <w:rFonts w:asciiTheme="majorHAnsi" w:hAnsiTheme="majorHAnsi" w:cstheme="majorHAnsi"/>
          <w:b/>
          <w:sz w:val="22"/>
          <w:lang w:val="it-IT"/>
        </w:rPr>
      </w:pPr>
    </w:p>
    <w:p w14:paraId="52454CA3" w14:textId="77777777" w:rsidR="009F0A62" w:rsidRPr="00B95F7C" w:rsidRDefault="009F0A62" w:rsidP="00AC0E2C">
      <w:pPr>
        <w:ind w:left="720" w:right="576"/>
        <w:rPr>
          <w:rFonts w:asciiTheme="majorHAnsi" w:hAnsiTheme="majorHAnsi" w:cstheme="majorHAnsi"/>
          <w:b/>
          <w:sz w:val="22"/>
          <w:lang w:val="it-IT"/>
        </w:rPr>
      </w:pPr>
    </w:p>
    <w:p w14:paraId="44593310" w14:textId="5944DA94" w:rsidR="00F0110C" w:rsidRPr="00B95F7C" w:rsidRDefault="003E6B7A" w:rsidP="00AC0E2C">
      <w:pPr>
        <w:ind w:left="720" w:right="576"/>
        <w:jc w:val="center"/>
        <w:rPr>
          <w:rFonts w:asciiTheme="majorHAnsi" w:hAnsiTheme="majorHAnsi" w:cstheme="majorHAnsi"/>
          <w:b/>
          <w:sz w:val="22"/>
          <w:lang w:val="it-IT"/>
        </w:rPr>
      </w:pPr>
      <w:r w:rsidRPr="00B95F7C">
        <w:rPr>
          <w:rFonts w:asciiTheme="majorHAnsi" w:hAnsiTheme="majorHAnsi" w:cstheme="majorHAnsi"/>
          <w:b/>
          <w:sz w:val="22"/>
          <w:lang w:val="it-IT"/>
        </w:rPr>
        <w:t>Verzija za procenu</w:t>
      </w:r>
    </w:p>
    <w:p w14:paraId="24402FD8" w14:textId="70718EA0" w:rsidR="007E15DB" w:rsidRPr="00611C08" w:rsidRDefault="003E6B7A" w:rsidP="00AC0E2C">
      <w:pPr>
        <w:ind w:left="720" w:right="576"/>
        <w:jc w:val="center"/>
        <w:rPr>
          <w:rFonts w:asciiTheme="majorHAnsi" w:hAnsiTheme="majorHAnsi" w:cstheme="majorHAnsi"/>
          <w:b/>
          <w:sz w:val="22"/>
        </w:rPr>
      </w:pPr>
      <w:r>
        <w:rPr>
          <w:rFonts w:asciiTheme="majorHAnsi" w:hAnsiTheme="majorHAnsi" w:cstheme="majorHAnsi"/>
          <w:b/>
          <w:sz w:val="22"/>
        </w:rPr>
        <w:t>Maj</w:t>
      </w:r>
      <w:r w:rsidR="00611C08" w:rsidRPr="00611C08">
        <w:rPr>
          <w:rFonts w:asciiTheme="majorHAnsi" w:hAnsiTheme="majorHAnsi" w:cstheme="majorHAnsi"/>
          <w:b/>
          <w:sz w:val="22"/>
        </w:rPr>
        <w:t xml:space="preserve"> 2026</w:t>
      </w:r>
      <w:r>
        <w:rPr>
          <w:rFonts w:asciiTheme="majorHAnsi" w:hAnsiTheme="majorHAnsi" w:cstheme="majorHAnsi"/>
          <w:b/>
          <w:sz w:val="22"/>
        </w:rPr>
        <w:t>.</w:t>
      </w:r>
    </w:p>
    <w:p w14:paraId="4D783E45" w14:textId="77777777" w:rsidR="007E15DB" w:rsidRPr="00386B69" w:rsidRDefault="00811B0E" w:rsidP="00AC0E2C">
      <w:pPr>
        <w:ind w:left="720" w:right="576"/>
        <w:rPr>
          <w:rFonts w:asciiTheme="majorHAnsi" w:hAnsiTheme="majorHAnsi" w:cstheme="majorHAnsi"/>
          <w:sz w:val="22"/>
        </w:rPr>
      </w:pPr>
      <w:r w:rsidRPr="00386B69">
        <w:rPr>
          <w:rFonts w:asciiTheme="majorHAnsi" w:hAnsiTheme="majorHAnsi" w:cstheme="majorHAnsi"/>
          <w:sz w:val="22"/>
        </w:rPr>
        <w:br w:type="page"/>
      </w:r>
    </w:p>
    <w:p w14:paraId="18F9BDE0" w14:textId="28EC9544" w:rsidR="007E15DB" w:rsidRPr="00386B69" w:rsidRDefault="00A263EC" w:rsidP="00AC0E2C">
      <w:pPr>
        <w:pStyle w:val="Heading2"/>
        <w:spacing w:before="60" w:after="120"/>
        <w:ind w:left="720" w:right="576"/>
        <w:rPr>
          <w:rFonts w:cstheme="majorHAnsi"/>
          <w:color w:val="auto"/>
          <w:sz w:val="22"/>
          <w:szCs w:val="22"/>
        </w:rPr>
      </w:pPr>
      <w:r>
        <w:rPr>
          <w:rFonts w:eastAsia="Arial" w:cstheme="majorHAnsi"/>
          <w:color w:val="auto"/>
          <w:sz w:val="22"/>
          <w:szCs w:val="22"/>
        </w:rPr>
        <w:lastRenderedPageBreak/>
        <w:t>Spisak skraćenica i akronima</w:t>
      </w:r>
    </w:p>
    <w:tbl>
      <w:tblPr>
        <w:tblStyle w:val="TableGrid"/>
        <w:tblpPr w:leftFromText="180" w:rightFromText="180" w:vertAnchor="text" w:tblpY="1"/>
        <w:tblOverlap w:val="never"/>
        <w:tblW w:w="4098" w:type="pct"/>
        <w:tblLook w:val="04A0" w:firstRow="1" w:lastRow="0" w:firstColumn="1" w:lastColumn="0" w:noHBand="0" w:noVBand="1"/>
      </w:tblPr>
      <w:tblGrid>
        <w:gridCol w:w="1177"/>
        <w:gridCol w:w="7548"/>
      </w:tblGrid>
      <w:tr w:rsidR="00386B69" w:rsidRPr="00386B69" w14:paraId="3DE430FD" w14:textId="77777777" w:rsidTr="00495BBE">
        <w:trPr>
          <w:cantSplit/>
          <w:tblHeader/>
        </w:trPr>
        <w:tc>
          <w:tcPr>
            <w:tcW w:w="1182" w:type="dxa"/>
            <w:shd w:val="clear" w:color="auto" w:fill="D9EAF7"/>
            <w:tcMar>
              <w:top w:w="60" w:type="dxa"/>
              <w:left w:w="60" w:type="dxa"/>
              <w:bottom w:w="60" w:type="dxa"/>
              <w:right w:w="60" w:type="dxa"/>
            </w:tcMar>
          </w:tcPr>
          <w:p w14:paraId="3FF607ED" w14:textId="4450308A" w:rsidR="007E15DB" w:rsidRPr="00386B69" w:rsidRDefault="00A263EC">
            <w:pPr>
              <w:rPr>
                <w:rFonts w:asciiTheme="majorHAnsi" w:hAnsiTheme="majorHAnsi" w:cstheme="majorHAnsi"/>
                <w:sz w:val="22"/>
              </w:rPr>
            </w:pPr>
            <w:r>
              <w:rPr>
                <w:rFonts w:asciiTheme="majorHAnsi" w:hAnsiTheme="majorHAnsi" w:cstheme="majorHAnsi"/>
                <w:b/>
              </w:rPr>
              <w:t>Akronim</w:t>
            </w:r>
          </w:p>
        </w:tc>
        <w:tc>
          <w:tcPr>
            <w:tcW w:w="7650" w:type="dxa"/>
            <w:shd w:val="clear" w:color="auto" w:fill="D9EAF7"/>
            <w:tcMar>
              <w:top w:w="60" w:type="dxa"/>
              <w:left w:w="60" w:type="dxa"/>
              <w:bottom w:w="60" w:type="dxa"/>
              <w:right w:w="60" w:type="dxa"/>
            </w:tcMar>
          </w:tcPr>
          <w:p w14:paraId="5C9AE8DC" w14:textId="10B2E242" w:rsidR="007E15DB" w:rsidRPr="00386B69" w:rsidRDefault="00A263EC">
            <w:pPr>
              <w:rPr>
                <w:rFonts w:asciiTheme="majorHAnsi" w:hAnsiTheme="majorHAnsi" w:cstheme="majorHAnsi"/>
                <w:sz w:val="22"/>
              </w:rPr>
            </w:pPr>
            <w:r>
              <w:rPr>
                <w:rFonts w:asciiTheme="majorHAnsi" w:hAnsiTheme="majorHAnsi" w:cstheme="majorHAnsi"/>
                <w:b/>
              </w:rPr>
              <w:t>Opis</w:t>
            </w:r>
          </w:p>
        </w:tc>
      </w:tr>
      <w:tr w:rsidR="00386B69" w:rsidRPr="00386B69" w14:paraId="1DE43358" w14:textId="77777777" w:rsidTr="00495BBE">
        <w:trPr>
          <w:cantSplit/>
        </w:trPr>
        <w:tc>
          <w:tcPr>
            <w:tcW w:w="1182" w:type="dxa"/>
            <w:tcMar>
              <w:top w:w="60" w:type="dxa"/>
              <w:left w:w="60" w:type="dxa"/>
              <w:bottom w:w="60" w:type="dxa"/>
              <w:right w:w="60" w:type="dxa"/>
            </w:tcMar>
          </w:tcPr>
          <w:p w14:paraId="7638376B" w14:textId="77777777" w:rsidR="007E15DB" w:rsidRPr="00386B69" w:rsidRDefault="00811B0E">
            <w:pPr>
              <w:rPr>
                <w:rFonts w:asciiTheme="majorHAnsi" w:hAnsiTheme="majorHAnsi" w:cstheme="majorHAnsi"/>
                <w:sz w:val="22"/>
              </w:rPr>
            </w:pPr>
            <w:r w:rsidRPr="00386B69">
              <w:rPr>
                <w:rFonts w:asciiTheme="majorHAnsi" w:hAnsiTheme="majorHAnsi" w:cstheme="majorHAnsi"/>
              </w:rPr>
              <w:t>AI</w:t>
            </w:r>
          </w:p>
        </w:tc>
        <w:tc>
          <w:tcPr>
            <w:tcW w:w="7650" w:type="dxa"/>
            <w:tcMar>
              <w:top w:w="60" w:type="dxa"/>
              <w:left w:w="60" w:type="dxa"/>
              <w:bottom w:w="60" w:type="dxa"/>
              <w:right w:w="60" w:type="dxa"/>
            </w:tcMar>
          </w:tcPr>
          <w:p w14:paraId="65B2F815" w14:textId="31107D6E" w:rsidR="007E15DB" w:rsidRPr="00386B69" w:rsidRDefault="00A263EC">
            <w:pPr>
              <w:rPr>
                <w:rFonts w:asciiTheme="majorHAnsi" w:hAnsiTheme="majorHAnsi" w:cstheme="majorHAnsi"/>
                <w:sz w:val="22"/>
              </w:rPr>
            </w:pPr>
            <w:r>
              <w:rPr>
                <w:rFonts w:asciiTheme="majorHAnsi" w:hAnsiTheme="majorHAnsi" w:cstheme="majorHAnsi"/>
              </w:rPr>
              <w:t>Veštačka inteligencija</w:t>
            </w:r>
          </w:p>
        </w:tc>
      </w:tr>
      <w:tr w:rsidR="00386B69" w:rsidRPr="00802EE5" w14:paraId="60C3FC5F" w14:textId="77777777" w:rsidTr="00495BBE">
        <w:trPr>
          <w:cantSplit/>
        </w:trPr>
        <w:tc>
          <w:tcPr>
            <w:tcW w:w="1182" w:type="dxa"/>
            <w:tcMar>
              <w:top w:w="60" w:type="dxa"/>
              <w:left w:w="60" w:type="dxa"/>
              <w:bottom w:w="60" w:type="dxa"/>
              <w:right w:w="60" w:type="dxa"/>
            </w:tcMar>
          </w:tcPr>
          <w:p w14:paraId="56927828" w14:textId="77777777" w:rsidR="007E15DB" w:rsidRPr="00386B69" w:rsidRDefault="00811B0E">
            <w:pPr>
              <w:rPr>
                <w:rFonts w:asciiTheme="majorHAnsi" w:hAnsiTheme="majorHAnsi" w:cstheme="majorHAnsi"/>
                <w:sz w:val="22"/>
              </w:rPr>
            </w:pPr>
            <w:r w:rsidRPr="00386B69">
              <w:rPr>
                <w:rFonts w:asciiTheme="majorHAnsi" w:hAnsiTheme="majorHAnsi" w:cstheme="majorHAnsi"/>
              </w:rPr>
              <w:t>CERC</w:t>
            </w:r>
          </w:p>
        </w:tc>
        <w:tc>
          <w:tcPr>
            <w:tcW w:w="7650" w:type="dxa"/>
            <w:tcMar>
              <w:top w:w="60" w:type="dxa"/>
              <w:left w:w="60" w:type="dxa"/>
              <w:bottom w:w="60" w:type="dxa"/>
              <w:right w:w="60" w:type="dxa"/>
            </w:tcMar>
          </w:tcPr>
          <w:p w14:paraId="4C18716B" w14:textId="18BA2975" w:rsidR="007E15DB" w:rsidRPr="00B95F7C" w:rsidRDefault="006C6E44">
            <w:pPr>
              <w:rPr>
                <w:rFonts w:asciiTheme="majorHAnsi" w:hAnsiTheme="majorHAnsi" w:cstheme="majorHAnsi"/>
                <w:sz w:val="22"/>
                <w:lang w:val="it-IT"/>
              </w:rPr>
            </w:pPr>
            <w:r w:rsidRPr="00B95F7C">
              <w:rPr>
                <w:rFonts w:asciiTheme="majorHAnsi" w:hAnsiTheme="majorHAnsi" w:cstheme="majorHAnsi"/>
                <w:lang w:val="it-IT"/>
              </w:rPr>
              <w:t>Komponenta za hitno reagovanje u vanrednim situacijama</w:t>
            </w:r>
          </w:p>
        </w:tc>
      </w:tr>
      <w:tr w:rsidR="00386B69" w:rsidRPr="00386B69" w14:paraId="15AA0C6D" w14:textId="77777777" w:rsidTr="00495BBE">
        <w:trPr>
          <w:cantSplit/>
        </w:trPr>
        <w:tc>
          <w:tcPr>
            <w:tcW w:w="1182" w:type="dxa"/>
            <w:tcMar>
              <w:top w:w="60" w:type="dxa"/>
              <w:left w:w="60" w:type="dxa"/>
              <w:bottom w:w="60" w:type="dxa"/>
              <w:right w:w="60" w:type="dxa"/>
            </w:tcMar>
          </w:tcPr>
          <w:p w14:paraId="59B5B4EF" w14:textId="77777777" w:rsidR="007E15DB" w:rsidRPr="00386B69" w:rsidRDefault="00811B0E">
            <w:pPr>
              <w:rPr>
                <w:rFonts w:asciiTheme="majorHAnsi" w:hAnsiTheme="majorHAnsi" w:cstheme="majorHAnsi"/>
                <w:sz w:val="22"/>
              </w:rPr>
            </w:pPr>
            <w:r w:rsidRPr="00386B69">
              <w:rPr>
                <w:rFonts w:asciiTheme="majorHAnsi" w:hAnsiTheme="majorHAnsi" w:cstheme="majorHAnsi"/>
              </w:rPr>
              <w:t>CISO</w:t>
            </w:r>
          </w:p>
        </w:tc>
        <w:tc>
          <w:tcPr>
            <w:tcW w:w="7650" w:type="dxa"/>
            <w:tcMar>
              <w:top w:w="60" w:type="dxa"/>
              <w:left w:w="60" w:type="dxa"/>
              <w:bottom w:w="60" w:type="dxa"/>
              <w:right w:w="60" w:type="dxa"/>
            </w:tcMar>
          </w:tcPr>
          <w:p w14:paraId="2AEB084C" w14:textId="45019588" w:rsidR="007E15DB" w:rsidRPr="00386B69" w:rsidRDefault="006C6E44">
            <w:pPr>
              <w:rPr>
                <w:rFonts w:asciiTheme="majorHAnsi" w:hAnsiTheme="majorHAnsi" w:cstheme="majorHAnsi"/>
                <w:sz w:val="22"/>
              </w:rPr>
            </w:pPr>
            <w:r w:rsidRPr="006C6E44">
              <w:rPr>
                <w:rFonts w:asciiTheme="majorHAnsi" w:hAnsiTheme="majorHAnsi" w:cstheme="majorHAnsi"/>
              </w:rPr>
              <w:t>Rukovodilac informacione bezbednosti</w:t>
            </w:r>
          </w:p>
        </w:tc>
      </w:tr>
      <w:tr w:rsidR="00386B69" w:rsidRPr="00386B69" w14:paraId="23FA2B20" w14:textId="77777777" w:rsidTr="00495BBE">
        <w:trPr>
          <w:cantSplit/>
        </w:trPr>
        <w:tc>
          <w:tcPr>
            <w:tcW w:w="1182" w:type="dxa"/>
            <w:tcMar>
              <w:top w:w="60" w:type="dxa"/>
              <w:left w:w="60" w:type="dxa"/>
              <w:bottom w:w="60" w:type="dxa"/>
              <w:right w:w="60" w:type="dxa"/>
            </w:tcMar>
          </w:tcPr>
          <w:p w14:paraId="37AB69A5" w14:textId="77777777" w:rsidR="007E15DB" w:rsidRPr="00386B69" w:rsidRDefault="00811B0E">
            <w:pPr>
              <w:rPr>
                <w:rFonts w:asciiTheme="majorHAnsi" w:hAnsiTheme="majorHAnsi" w:cstheme="majorHAnsi"/>
                <w:sz w:val="22"/>
              </w:rPr>
            </w:pPr>
            <w:r w:rsidRPr="00386B69">
              <w:rPr>
                <w:rFonts w:asciiTheme="majorHAnsi" w:hAnsiTheme="majorHAnsi" w:cstheme="majorHAnsi"/>
              </w:rPr>
              <w:t>CSO</w:t>
            </w:r>
          </w:p>
        </w:tc>
        <w:tc>
          <w:tcPr>
            <w:tcW w:w="7650" w:type="dxa"/>
            <w:tcMar>
              <w:top w:w="60" w:type="dxa"/>
              <w:left w:w="60" w:type="dxa"/>
              <w:bottom w:w="60" w:type="dxa"/>
              <w:right w:w="60" w:type="dxa"/>
            </w:tcMar>
          </w:tcPr>
          <w:p w14:paraId="4600B3AF" w14:textId="78F546E6" w:rsidR="007E15DB" w:rsidRPr="00386B69" w:rsidRDefault="006C6E44">
            <w:pPr>
              <w:rPr>
                <w:rFonts w:asciiTheme="majorHAnsi" w:hAnsiTheme="majorHAnsi" w:cstheme="majorHAnsi"/>
                <w:sz w:val="22"/>
              </w:rPr>
            </w:pPr>
            <w:r>
              <w:rPr>
                <w:rFonts w:asciiTheme="majorHAnsi" w:hAnsiTheme="majorHAnsi" w:cstheme="majorHAnsi"/>
              </w:rPr>
              <w:t>Organizacija civilnog društva</w:t>
            </w:r>
          </w:p>
        </w:tc>
      </w:tr>
      <w:tr w:rsidR="00386B69" w:rsidRPr="00255634" w14:paraId="0B8A6CE4" w14:textId="77777777" w:rsidTr="00495BBE">
        <w:trPr>
          <w:cantSplit/>
        </w:trPr>
        <w:tc>
          <w:tcPr>
            <w:tcW w:w="1182" w:type="dxa"/>
            <w:tcMar>
              <w:top w:w="60" w:type="dxa"/>
              <w:left w:w="60" w:type="dxa"/>
              <w:bottom w:w="60" w:type="dxa"/>
              <w:right w:w="60" w:type="dxa"/>
            </w:tcMar>
          </w:tcPr>
          <w:p w14:paraId="4F552957" w14:textId="77777777" w:rsidR="007E15DB" w:rsidRPr="00386B69" w:rsidRDefault="00811B0E">
            <w:pPr>
              <w:rPr>
                <w:rFonts w:asciiTheme="majorHAnsi" w:hAnsiTheme="majorHAnsi" w:cstheme="majorHAnsi"/>
                <w:sz w:val="22"/>
              </w:rPr>
            </w:pPr>
            <w:r w:rsidRPr="00386B69">
              <w:rPr>
                <w:rFonts w:asciiTheme="majorHAnsi" w:hAnsiTheme="majorHAnsi" w:cstheme="majorHAnsi"/>
              </w:rPr>
              <w:t>E&amp;S</w:t>
            </w:r>
          </w:p>
        </w:tc>
        <w:tc>
          <w:tcPr>
            <w:tcW w:w="7650" w:type="dxa"/>
            <w:tcMar>
              <w:top w:w="60" w:type="dxa"/>
              <w:left w:w="60" w:type="dxa"/>
              <w:bottom w:w="60" w:type="dxa"/>
              <w:right w:w="60" w:type="dxa"/>
            </w:tcMar>
          </w:tcPr>
          <w:p w14:paraId="111FC9B9" w14:textId="23216EC7" w:rsidR="007E15DB" w:rsidRPr="00B95F7C" w:rsidRDefault="001D39E6">
            <w:pPr>
              <w:rPr>
                <w:rFonts w:asciiTheme="majorHAnsi" w:hAnsiTheme="majorHAnsi" w:cstheme="majorHAnsi"/>
                <w:sz w:val="22"/>
                <w:lang w:val="it-IT"/>
              </w:rPr>
            </w:pPr>
            <w:r>
              <w:rPr>
                <w:rFonts w:asciiTheme="majorHAnsi" w:hAnsiTheme="majorHAnsi" w:cstheme="majorHAnsi"/>
                <w:lang w:val="it-IT"/>
              </w:rPr>
              <w:t>Ekološki</w:t>
            </w:r>
            <w:r w:rsidR="006C6E44" w:rsidRPr="00B95F7C">
              <w:rPr>
                <w:rFonts w:asciiTheme="majorHAnsi" w:hAnsiTheme="majorHAnsi" w:cstheme="majorHAnsi"/>
                <w:lang w:val="it-IT"/>
              </w:rPr>
              <w:t xml:space="preserve"> i društveni aspekti</w:t>
            </w:r>
          </w:p>
        </w:tc>
      </w:tr>
      <w:tr w:rsidR="00386B69" w:rsidRPr="00386B69" w14:paraId="4CDB1F0A" w14:textId="77777777" w:rsidTr="00495BBE">
        <w:trPr>
          <w:cantSplit/>
        </w:trPr>
        <w:tc>
          <w:tcPr>
            <w:tcW w:w="1182" w:type="dxa"/>
            <w:tcMar>
              <w:top w:w="60" w:type="dxa"/>
              <w:left w:w="60" w:type="dxa"/>
              <w:bottom w:w="60" w:type="dxa"/>
              <w:right w:w="60" w:type="dxa"/>
            </w:tcMar>
          </w:tcPr>
          <w:p w14:paraId="58802086" w14:textId="77777777" w:rsidR="007E15DB" w:rsidRPr="00386B69" w:rsidRDefault="00811B0E">
            <w:pPr>
              <w:rPr>
                <w:rFonts w:asciiTheme="majorHAnsi" w:hAnsiTheme="majorHAnsi" w:cstheme="majorHAnsi"/>
                <w:sz w:val="22"/>
              </w:rPr>
            </w:pPr>
            <w:r w:rsidRPr="00386B69">
              <w:rPr>
                <w:rFonts w:asciiTheme="majorHAnsi" w:hAnsiTheme="majorHAnsi" w:cstheme="majorHAnsi"/>
              </w:rPr>
              <w:t>EDGE</w:t>
            </w:r>
          </w:p>
        </w:tc>
        <w:tc>
          <w:tcPr>
            <w:tcW w:w="7650" w:type="dxa"/>
            <w:tcMar>
              <w:top w:w="60" w:type="dxa"/>
              <w:left w:w="60" w:type="dxa"/>
              <w:bottom w:w="60" w:type="dxa"/>
              <w:right w:w="60" w:type="dxa"/>
            </w:tcMar>
          </w:tcPr>
          <w:p w14:paraId="466C8946" w14:textId="222F39FF" w:rsidR="007E15DB" w:rsidRPr="00386B69" w:rsidRDefault="006C6E44" w:rsidP="006C6E44">
            <w:pPr>
              <w:rPr>
                <w:rFonts w:asciiTheme="majorHAnsi" w:hAnsiTheme="majorHAnsi" w:cstheme="majorHAnsi"/>
                <w:sz w:val="22"/>
              </w:rPr>
            </w:pPr>
            <w:r w:rsidRPr="006C6E44">
              <w:rPr>
                <w:rFonts w:asciiTheme="majorHAnsi" w:hAnsiTheme="majorHAnsi" w:cstheme="majorHAnsi"/>
              </w:rPr>
              <w:t xml:space="preserve">Projekat </w:t>
            </w:r>
            <w:r>
              <w:rPr>
                <w:rFonts w:asciiTheme="majorHAnsi" w:hAnsiTheme="majorHAnsi" w:cstheme="majorHAnsi"/>
              </w:rPr>
              <w:t>unapređenja</w:t>
            </w:r>
            <w:r w:rsidRPr="006C6E44">
              <w:rPr>
                <w:rFonts w:asciiTheme="majorHAnsi" w:hAnsiTheme="majorHAnsi" w:cstheme="majorHAnsi"/>
              </w:rPr>
              <w:t xml:space="preserve"> digitalnog upravljanja</w:t>
            </w:r>
          </w:p>
        </w:tc>
      </w:tr>
      <w:tr w:rsidR="00386B69" w:rsidRPr="00386B69" w14:paraId="07714874" w14:textId="77777777" w:rsidTr="00495BBE">
        <w:trPr>
          <w:cantSplit/>
        </w:trPr>
        <w:tc>
          <w:tcPr>
            <w:tcW w:w="1182" w:type="dxa"/>
            <w:tcMar>
              <w:top w:w="60" w:type="dxa"/>
              <w:left w:w="60" w:type="dxa"/>
              <w:bottom w:w="60" w:type="dxa"/>
              <w:right w:w="60" w:type="dxa"/>
            </w:tcMar>
          </w:tcPr>
          <w:p w14:paraId="0D42AFF5"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ESCP</w:t>
            </w:r>
          </w:p>
        </w:tc>
        <w:tc>
          <w:tcPr>
            <w:tcW w:w="7650" w:type="dxa"/>
            <w:tcMar>
              <w:top w:w="60" w:type="dxa"/>
              <w:left w:w="60" w:type="dxa"/>
              <w:bottom w:w="60" w:type="dxa"/>
              <w:right w:w="60" w:type="dxa"/>
            </w:tcMar>
          </w:tcPr>
          <w:p w14:paraId="5264FE01" w14:textId="5B129CB4" w:rsidR="007E15DB" w:rsidRPr="00386B69" w:rsidRDefault="00C8044C">
            <w:pPr>
              <w:rPr>
                <w:rFonts w:asciiTheme="majorHAnsi" w:hAnsiTheme="majorHAnsi" w:cstheme="majorHAnsi"/>
                <w:sz w:val="22"/>
              </w:rPr>
            </w:pPr>
            <w:r w:rsidRPr="00C8044C">
              <w:rPr>
                <w:rFonts w:asciiTheme="majorHAnsi" w:hAnsiTheme="majorHAnsi" w:cstheme="majorHAnsi"/>
              </w:rPr>
              <w:t>Plan ekoloških i društvenih obaveza</w:t>
            </w:r>
          </w:p>
        </w:tc>
      </w:tr>
      <w:tr w:rsidR="00386B69" w:rsidRPr="00386B69" w14:paraId="2A09A0B3" w14:textId="77777777" w:rsidTr="00495BBE">
        <w:trPr>
          <w:cantSplit/>
        </w:trPr>
        <w:tc>
          <w:tcPr>
            <w:tcW w:w="1182" w:type="dxa"/>
            <w:tcMar>
              <w:top w:w="60" w:type="dxa"/>
              <w:left w:w="60" w:type="dxa"/>
              <w:bottom w:w="60" w:type="dxa"/>
              <w:right w:w="60" w:type="dxa"/>
            </w:tcMar>
          </w:tcPr>
          <w:p w14:paraId="1FF546AF"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ESF</w:t>
            </w:r>
          </w:p>
        </w:tc>
        <w:tc>
          <w:tcPr>
            <w:tcW w:w="7650" w:type="dxa"/>
            <w:tcMar>
              <w:top w:w="60" w:type="dxa"/>
              <w:left w:w="60" w:type="dxa"/>
              <w:bottom w:w="60" w:type="dxa"/>
              <w:right w:w="60" w:type="dxa"/>
            </w:tcMar>
          </w:tcPr>
          <w:p w14:paraId="1FA5786D" w14:textId="00E70E7D" w:rsidR="007E15DB" w:rsidRPr="00386B69" w:rsidRDefault="00C8044C">
            <w:pPr>
              <w:rPr>
                <w:rFonts w:asciiTheme="majorHAnsi" w:hAnsiTheme="majorHAnsi" w:cstheme="majorHAnsi"/>
                <w:sz w:val="22"/>
              </w:rPr>
            </w:pPr>
            <w:r w:rsidRPr="00C8044C">
              <w:rPr>
                <w:rFonts w:asciiTheme="majorHAnsi" w:hAnsiTheme="majorHAnsi" w:cstheme="majorHAnsi"/>
              </w:rPr>
              <w:t>Ekološki i društveni okvir</w:t>
            </w:r>
          </w:p>
        </w:tc>
      </w:tr>
      <w:tr w:rsidR="00386B69" w:rsidRPr="00386B69" w14:paraId="445FA7F5" w14:textId="77777777" w:rsidTr="00495BBE">
        <w:trPr>
          <w:cantSplit/>
        </w:trPr>
        <w:tc>
          <w:tcPr>
            <w:tcW w:w="1182" w:type="dxa"/>
            <w:tcMar>
              <w:top w:w="60" w:type="dxa"/>
              <w:left w:w="60" w:type="dxa"/>
              <w:bottom w:w="60" w:type="dxa"/>
              <w:right w:w="60" w:type="dxa"/>
            </w:tcMar>
          </w:tcPr>
          <w:p w14:paraId="4E66C838"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ESS</w:t>
            </w:r>
          </w:p>
        </w:tc>
        <w:tc>
          <w:tcPr>
            <w:tcW w:w="7650" w:type="dxa"/>
            <w:tcMar>
              <w:top w:w="60" w:type="dxa"/>
              <w:left w:w="60" w:type="dxa"/>
              <w:bottom w:w="60" w:type="dxa"/>
              <w:right w:w="60" w:type="dxa"/>
            </w:tcMar>
          </w:tcPr>
          <w:p w14:paraId="581BFA56" w14:textId="74BE749A" w:rsidR="007E15DB" w:rsidRPr="00386B69" w:rsidRDefault="00811B0E">
            <w:pPr>
              <w:rPr>
                <w:rFonts w:asciiTheme="majorHAnsi" w:hAnsiTheme="majorHAnsi" w:cstheme="majorHAnsi"/>
                <w:sz w:val="22"/>
              </w:rPr>
            </w:pPr>
            <w:r w:rsidRPr="00386B69">
              <w:rPr>
                <w:rFonts w:asciiTheme="majorHAnsi" w:hAnsiTheme="majorHAnsi" w:cstheme="majorHAnsi"/>
              </w:rPr>
              <w:t>E</w:t>
            </w:r>
            <w:r w:rsidR="0008136F">
              <w:rPr>
                <w:rFonts w:asciiTheme="majorHAnsi" w:hAnsiTheme="majorHAnsi" w:cstheme="majorHAnsi"/>
              </w:rPr>
              <w:t>kološki i društveni standard</w:t>
            </w:r>
          </w:p>
        </w:tc>
      </w:tr>
      <w:tr w:rsidR="00386B69" w:rsidRPr="00802EE5" w14:paraId="051A7255" w14:textId="77777777" w:rsidTr="00495BBE">
        <w:trPr>
          <w:cantSplit/>
        </w:trPr>
        <w:tc>
          <w:tcPr>
            <w:tcW w:w="1182" w:type="dxa"/>
            <w:tcMar>
              <w:top w:w="60" w:type="dxa"/>
              <w:left w:w="60" w:type="dxa"/>
              <w:bottom w:w="60" w:type="dxa"/>
              <w:right w:w="60" w:type="dxa"/>
            </w:tcMar>
          </w:tcPr>
          <w:p w14:paraId="24BB3F5E" w14:textId="77777777" w:rsidR="007E15DB" w:rsidRPr="00386B69" w:rsidRDefault="00811B0E">
            <w:pPr>
              <w:rPr>
                <w:rFonts w:asciiTheme="majorHAnsi" w:hAnsiTheme="majorHAnsi" w:cstheme="majorHAnsi"/>
                <w:sz w:val="22"/>
              </w:rPr>
            </w:pPr>
            <w:r w:rsidRPr="00386B69">
              <w:rPr>
                <w:rFonts w:asciiTheme="majorHAnsi" w:hAnsiTheme="majorHAnsi" w:cstheme="majorHAnsi"/>
              </w:rPr>
              <w:t>ESS10</w:t>
            </w:r>
          </w:p>
        </w:tc>
        <w:tc>
          <w:tcPr>
            <w:tcW w:w="7650" w:type="dxa"/>
            <w:tcMar>
              <w:top w:w="60" w:type="dxa"/>
              <w:left w:w="60" w:type="dxa"/>
              <w:bottom w:w="60" w:type="dxa"/>
              <w:right w:w="60" w:type="dxa"/>
            </w:tcMar>
          </w:tcPr>
          <w:p w14:paraId="3E7AB910" w14:textId="31B5EAAA" w:rsidR="007E15DB" w:rsidRPr="00B95F7C" w:rsidRDefault="00D25D18" w:rsidP="00E50DE5">
            <w:pPr>
              <w:rPr>
                <w:rFonts w:asciiTheme="majorHAnsi" w:hAnsiTheme="majorHAnsi" w:cstheme="majorHAnsi"/>
                <w:sz w:val="22"/>
                <w:lang w:val="it-IT"/>
              </w:rPr>
            </w:pPr>
            <w:r w:rsidRPr="00B95F7C">
              <w:rPr>
                <w:rFonts w:asciiTheme="majorHAnsi" w:hAnsiTheme="majorHAnsi" w:cstheme="majorHAnsi"/>
                <w:lang w:val="it-IT"/>
              </w:rPr>
              <w:t xml:space="preserve">Ekološki i društveni standard 10: </w:t>
            </w:r>
            <w:r w:rsidR="00E50DE5" w:rsidRPr="00B95F7C">
              <w:rPr>
                <w:rFonts w:asciiTheme="majorHAnsi" w:hAnsiTheme="majorHAnsi" w:cstheme="majorHAnsi"/>
                <w:lang w:val="it-IT"/>
              </w:rPr>
              <w:t>Angažovanje</w:t>
            </w:r>
            <w:r w:rsidRPr="00B95F7C">
              <w:rPr>
                <w:rFonts w:asciiTheme="majorHAnsi" w:hAnsiTheme="majorHAnsi" w:cstheme="majorHAnsi"/>
                <w:lang w:val="it-IT"/>
              </w:rPr>
              <w:t xml:space="preserve"> zainteresovanih strana i objavljivanje informacija</w:t>
            </w:r>
          </w:p>
        </w:tc>
      </w:tr>
      <w:tr w:rsidR="00386B69" w:rsidRPr="00386B69" w14:paraId="2E3B4494" w14:textId="77777777" w:rsidTr="00495BBE">
        <w:trPr>
          <w:cantSplit/>
        </w:trPr>
        <w:tc>
          <w:tcPr>
            <w:tcW w:w="1182" w:type="dxa"/>
            <w:tcMar>
              <w:top w:w="60" w:type="dxa"/>
              <w:left w:w="60" w:type="dxa"/>
              <w:bottom w:w="60" w:type="dxa"/>
              <w:right w:w="60" w:type="dxa"/>
            </w:tcMar>
          </w:tcPr>
          <w:p w14:paraId="62A0E059" w14:textId="77777777" w:rsidR="007E15DB" w:rsidRPr="00386B69" w:rsidRDefault="00811B0E">
            <w:pPr>
              <w:rPr>
                <w:rFonts w:asciiTheme="majorHAnsi" w:hAnsiTheme="majorHAnsi" w:cstheme="majorHAnsi"/>
                <w:sz w:val="22"/>
              </w:rPr>
            </w:pPr>
            <w:r w:rsidRPr="00386B69">
              <w:rPr>
                <w:rFonts w:asciiTheme="majorHAnsi" w:hAnsiTheme="majorHAnsi" w:cstheme="majorHAnsi"/>
              </w:rPr>
              <w:t>EU</w:t>
            </w:r>
          </w:p>
        </w:tc>
        <w:tc>
          <w:tcPr>
            <w:tcW w:w="7650" w:type="dxa"/>
            <w:tcMar>
              <w:top w:w="60" w:type="dxa"/>
              <w:left w:w="60" w:type="dxa"/>
              <w:bottom w:w="60" w:type="dxa"/>
              <w:right w:w="60" w:type="dxa"/>
            </w:tcMar>
          </w:tcPr>
          <w:p w14:paraId="50CB9C62" w14:textId="081D78B7" w:rsidR="007E15DB" w:rsidRPr="00386B69" w:rsidRDefault="00B71191">
            <w:pPr>
              <w:rPr>
                <w:rFonts w:asciiTheme="majorHAnsi" w:hAnsiTheme="majorHAnsi" w:cstheme="majorHAnsi"/>
                <w:sz w:val="22"/>
              </w:rPr>
            </w:pPr>
            <w:r>
              <w:rPr>
                <w:rFonts w:asciiTheme="majorHAnsi" w:hAnsiTheme="majorHAnsi" w:cstheme="majorHAnsi"/>
              </w:rPr>
              <w:t>Evropska unija</w:t>
            </w:r>
          </w:p>
        </w:tc>
      </w:tr>
      <w:tr w:rsidR="00386B69" w:rsidRPr="00386B69" w14:paraId="716FD7C3" w14:textId="77777777" w:rsidTr="00495BBE">
        <w:trPr>
          <w:cantSplit/>
        </w:trPr>
        <w:tc>
          <w:tcPr>
            <w:tcW w:w="1182" w:type="dxa"/>
            <w:tcMar>
              <w:top w:w="60" w:type="dxa"/>
              <w:left w:w="60" w:type="dxa"/>
              <w:bottom w:w="60" w:type="dxa"/>
              <w:right w:w="60" w:type="dxa"/>
            </w:tcMar>
          </w:tcPr>
          <w:p w14:paraId="32C2A79A" w14:textId="77777777" w:rsidR="007E15DB" w:rsidRPr="00386B69" w:rsidRDefault="00811B0E">
            <w:pPr>
              <w:rPr>
                <w:rFonts w:asciiTheme="majorHAnsi" w:hAnsiTheme="majorHAnsi" w:cstheme="majorHAnsi"/>
                <w:sz w:val="22"/>
              </w:rPr>
            </w:pPr>
            <w:r w:rsidRPr="00386B69">
              <w:rPr>
                <w:rFonts w:asciiTheme="majorHAnsi" w:hAnsiTheme="majorHAnsi" w:cstheme="majorHAnsi"/>
              </w:rPr>
              <w:t>G-Cloud</w:t>
            </w:r>
          </w:p>
        </w:tc>
        <w:tc>
          <w:tcPr>
            <w:tcW w:w="7650" w:type="dxa"/>
            <w:tcMar>
              <w:top w:w="60" w:type="dxa"/>
              <w:left w:w="60" w:type="dxa"/>
              <w:bottom w:w="60" w:type="dxa"/>
              <w:right w:w="60" w:type="dxa"/>
            </w:tcMar>
          </w:tcPr>
          <w:p w14:paraId="70A47D82" w14:textId="40ED836D" w:rsidR="007E15DB" w:rsidRPr="00386B69" w:rsidRDefault="00397E86">
            <w:pPr>
              <w:rPr>
                <w:rFonts w:asciiTheme="majorHAnsi" w:hAnsiTheme="majorHAnsi" w:cstheme="majorHAnsi"/>
                <w:sz w:val="22"/>
              </w:rPr>
            </w:pPr>
            <w:r w:rsidRPr="004F7BD6">
              <w:rPr>
                <w:rFonts w:asciiTheme="majorHAnsi" w:hAnsiTheme="majorHAnsi" w:cstheme="majorHAnsi"/>
              </w:rPr>
              <w:t>Državni klaud</w:t>
            </w:r>
          </w:p>
        </w:tc>
      </w:tr>
      <w:tr w:rsidR="00386B69" w:rsidRPr="00802EE5" w14:paraId="15AB6323" w14:textId="77777777" w:rsidTr="00495BBE">
        <w:trPr>
          <w:cantSplit/>
        </w:trPr>
        <w:tc>
          <w:tcPr>
            <w:tcW w:w="1182" w:type="dxa"/>
            <w:tcMar>
              <w:top w:w="60" w:type="dxa"/>
              <w:left w:w="60" w:type="dxa"/>
              <w:bottom w:w="60" w:type="dxa"/>
              <w:right w:w="60" w:type="dxa"/>
            </w:tcMar>
          </w:tcPr>
          <w:p w14:paraId="6AB557A3" w14:textId="77777777" w:rsidR="007E15DB" w:rsidRPr="00386B69" w:rsidRDefault="00811B0E">
            <w:pPr>
              <w:rPr>
                <w:rFonts w:asciiTheme="majorHAnsi" w:hAnsiTheme="majorHAnsi" w:cstheme="majorHAnsi"/>
                <w:sz w:val="22"/>
              </w:rPr>
            </w:pPr>
            <w:r w:rsidRPr="00386B69">
              <w:rPr>
                <w:rFonts w:asciiTheme="majorHAnsi" w:hAnsiTheme="majorHAnsi" w:cstheme="majorHAnsi"/>
              </w:rPr>
              <w:t>G-SOC</w:t>
            </w:r>
          </w:p>
        </w:tc>
        <w:tc>
          <w:tcPr>
            <w:tcW w:w="7650" w:type="dxa"/>
            <w:tcMar>
              <w:top w:w="60" w:type="dxa"/>
              <w:left w:w="60" w:type="dxa"/>
              <w:bottom w:w="60" w:type="dxa"/>
              <w:right w:w="60" w:type="dxa"/>
            </w:tcMar>
          </w:tcPr>
          <w:p w14:paraId="49EFF589" w14:textId="188B9962" w:rsidR="007E15DB" w:rsidRPr="00B95F7C" w:rsidRDefault="00F53206">
            <w:pPr>
              <w:rPr>
                <w:rFonts w:asciiTheme="majorHAnsi" w:hAnsiTheme="majorHAnsi" w:cstheme="majorHAnsi"/>
                <w:sz w:val="22"/>
                <w:lang w:val="it-IT"/>
              </w:rPr>
            </w:pPr>
            <w:r w:rsidRPr="00B95F7C">
              <w:rPr>
                <w:rFonts w:asciiTheme="majorHAnsi" w:hAnsiTheme="majorHAnsi" w:cstheme="majorHAnsi"/>
                <w:lang w:val="it-IT"/>
              </w:rPr>
              <w:t>Državni centar za bezbednosne operacije</w:t>
            </w:r>
          </w:p>
        </w:tc>
      </w:tr>
      <w:tr w:rsidR="00386B69" w:rsidRPr="00386B69" w14:paraId="553A3A11" w14:textId="77777777" w:rsidTr="00495BBE">
        <w:trPr>
          <w:cantSplit/>
        </w:trPr>
        <w:tc>
          <w:tcPr>
            <w:tcW w:w="1182" w:type="dxa"/>
            <w:tcMar>
              <w:top w:w="60" w:type="dxa"/>
              <w:left w:w="60" w:type="dxa"/>
              <w:bottom w:w="60" w:type="dxa"/>
              <w:right w:w="60" w:type="dxa"/>
            </w:tcMar>
          </w:tcPr>
          <w:p w14:paraId="6B06EB70" w14:textId="77777777" w:rsidR="007E15DB" w:rsidRPr="00386B69" w:rsidRDefault="00811B0E">
            <w:pPr>
              <w:rPr>
                <w:rFonts w:asciiTheme="majorHAnsi" w:hAnsiTheme="majorHAnsi" w:cstheme="majorHAnsi"/>
                <w:sz w:val="22"/>
              </w:rPr>
            </w:pPr>
            <w:r w:rsidRPr="00386B69">
              <w:rPr>
                <w:rFonts w:asciiTheme="majorHAnsi" w:hAnsiTheme="majorHAnsi" w:cstheme="majorHAnsi"/>
              </w:rPr>
              <w:t>GM/GRM</w:t>
            </w:r>
          </w:p>
        </w:tc>
        <w:tc>
          <w:tcPr>
            <w:tcW w:w="7650" w:type="dxa"/>
            <w:tcMar>
              <w:top w:w="60" w:type="dxa"/>
              <w:left w:w="60" w:type="dxa"/>
              <w:bottom w:w="60" w:type="dxa"/>
              <w:right w:w="60" w:type="dxa"/>
            </w:tcMar>
          </w:tcPr>
          <w:p w14:paraId="03830A99" w14:textId="3952457F" w:rsidR="007E15DB" w:rsidRPr="00386B69" w:rsidRDefault="00F53206">
            <w:pPr>
              <w:rPr>
                <w:rFonts w:asciiTheme="majorHAnsi" w:hAnsiTheme="majorHAnsi" w:cstheme="majorHAnsi"/>
                <w:sz w:val="22"/>
              </w:rPr>
            </w:pPr>
            <w:r w:rsidRPr="00F53206">
              <w:rPr>
                <w:rFonts w:asciiTheme="majorHAnsi" w:hAnsiTheme="majorHAnsi" w:cstheme="majorHAnsi"/>
              </w:rPr>
              <w:t>Mehanizam za podnošenje i rešavanje žalbi</w:t>
            </w:r>
          </w:p>
        </w:tc>
      </w:tr>
      <w:tr w:rsidR="00386B69" w:rsidRPr="00386B69" w14:paraId="724BAA8F" w14:textId="77777777" w:rsidTr="00495BBE">
        <w:trPr>
          <w:cantSplit/>
        </w:trPr>
        <w:tc>
          <w:tcPr>
            <w:tcW w:w="1182" w:type="dxa"/>
            <w:tcMar>
              <w:top w:w="60" w:type="dxa"/>
              <w:left w:w="60" w:type="dxa"/>
              <w:bottom w:w="60" w:type="dxa"/>
              <w:right w:w="60" w:type="dxa"/>
            </w:tcMar>
          </w:tcPr>
          <w:p w14:paraId="35D277A4" w14:textId="77777777" w:rsidR="007E15DB" w:rsidRPr="00386B69" w:rsidRDefault="00811B0E">
            <w:pPr>
              <w:rPr>
                <w:rFonts w:asciiTheme="majorHAnsi" w:hAnsiTheme="majorHAnsi" w:cstheme="majorHAnsi"/>
                <w:sz w:val="22"/>
              </w:rPr>
            </w:pPr>
            <w:r w:rsidRPr="00386B69">
              <w:rPr>
                <w:rFonts w:asciiTheme="majorHAnsi" w:hAnsiTheme="majorHAnsi" w:cstheme="majorHAnsi"/>
              </w:rPr>
              <w:t>GRS</w:t>
            </w:r>
          </w:p>
        </w:tc>
        <w:tc>
          <w:tcPr>
            <w:tcW w:w="7650" w:type="dxa"/>
            <w:tcMar>
              <w:top w:w="60" w:type="dxa"/>
              <w:left w:w="60" w:type="dxa"/>
              <w:bottom w:w="60" w:type="dxa"/>
              <w:right w:w="60" w:type="dxa"/>
            </w:tcMar>
          </w:tcPr>
          <w:p w14:paraId="6644A3C5" w14:textId="2564EB4F" w:rsidR="007E15DB" w:rsidRPr="00386B69" w:rsidRDefault="00F53206">
            <w:pPr>
              <w:rPr>
                <w:rFonts w:asciiTheme="majorHAnsi" w:hAnsiTheme="majorHAnsi" w:cstheme="majorHAnsi"/>
                <w:sz w:val="22"/>
              </w:rPr>
            </w:pPr>
            <w:r w:rsidRPr="00F53206">
              <w:rPr>
                <w:rFonts w:asciiTheme="majorHAnsi" w:hAnsiTheme="majorHAnsi" w:cstheme="majorHAnsi"/>
              </w:rPr>
              <w:t>Služba za rešavanje žalbi Svetske banke</w:t>
            </w:r>
          </w:p>
        </w:tc>
      </w:tr>
      <w:tr w:rsidR="00386B69" w:rsidRPr="00386B69" w14:paraId="6E13920B" w14:textId="77777777" w:rsidTr="00495BBE">
        <w:trPr>
          <w:cantSplit/>
        </w:trPr>
        <w:tc>
          <w:tcPr>
            <w:tcW w:w="1182" w:type="dxa"/>
            <w:tcMar>
              <w:top w:w="60" w:type="dxa"/>
              <w:left w:w="60" w:type="dxa"/>
              <w:bottom w:w="60" w:type="dxa"/>
              <w:right w:w="60" w:type="dxa"/>
            </w:tcMar>
          </w:tcPr>
          <w:p w14:paraId="5BDB22AA" w14:textId="77777777" w:rsidR="007E15DB" w:rsidRPr="00386B69" w:rsidRDefault="00811B0E">
            <w:pPr>
              <w:rPr>
                <w:rFonts w:asciiTheme="majorHAnsi" w:hAnsiTheme="majorHAnsi" w:cstheme="majorHAnsi"/>
                <w:sz w:val="22"/>
              </w:rPr>
            </w:pPr>
            <w:r w:rsidRPr="00386B69">
              <w:rPr>
                <w:rFonts w:asciiTheme="majorHAnsi" w:hAnsiTheme="majorHAnsi" w:cstheme="majorHAnsi"/>
              </w:rPr>
              <w:t>IPF</w:t>
            </w:r>
          </w:p>
        </w:tc>
        <w:tc>
          <w:tcPr>
            <w:tcW w:w="7650" w:type="dxa"/>
            <w:tcMar>
              <w:top w:w="60" w:type="dxa"/>
              <w:left w:w="60" w:type="dxa"/>
              <w:bottom w:w="60" w:type="dxa"/>
              <w:right w:w="60" w:type="dxa"/>
            </w:tcMar>
          </w:tcPr>
          <w:p w14:paraId="00CDB133" w14:textId="5F91BA3F" w:rsidR="007E15DB" w:rsidRPr="00386B69" w:rsidRDefault="00F53206">
            <w:pPr>
              <w:rPr>
                <w:rFonts w:asciiTheme="majorHAnsi" w:hAnsiTheme="majorHAnsi" w:cstheme="majorHAnsi"/>
                <w:sz w:val="22"/>
              </w:rPr>
            </w:pPr>
            <w:r w:rsidRPr="00F53206">
              <w:rPr>
                <w:rFonts w:asciiTheme="majorHAnsi" w:hAnsiTheme="majorHAnsi" w:cstheme="majorHAnsi"/>
              </w:rPr>
              <w:t>Finansiranje investicionih projekata</w:t>
            </w:r>
          </w:p>
        </w:tc>
      </w:tr>
      <w:tr w:rsidR="00386B69" w:rsidRPr="00386B69" w14:paraId="209D855A" w14:textId="77777777" w:rsidTr="00495BBE">
        <w:trPr>
          <w:cantSplit/>
        </w:trPr>
        <w:tc>
          <w:tcPr>
            <w:tcW w:w="1182" w:type="dxa"/>
            <w:tcMar>
              <w:top w:w="60" w:type="dxa"/>
              <w:left w:w="60" w:type="dxa"/>
              <w:bottom w:w="60" w:type="dxa"/>
              <w:right w:w="60" w:type="dxa"/>
            </w:tcMar>
          </w:tcPr>
          <w:p w14:paraId="7FD6A9C1" w14:textId="77777777" w:rsidR="007E15DB" w:rsidRPr="00386B69" w:rsidRDefault="00811B0E">
            <w:pPr>
              <w:rPr>
                <w:rFonts w:asciiTheme="majorHAnsi" w:hAnsiTheme="majorHAnsi" w:cstheme="majorHAnsi"/>
                <w:sz w:val="22"/>
              </w:rPr>
            </w:pPr>
            <w:r w:rsidRPr="00386B69">
              <w:rPr>
                <w:rFonts w:asciiTheme="majorHAnsi" w:hAnsiTheme="majorHAnsi" w:cstheme="majorHAnsi"/>
              </w:rPr>
              <w:t>IT</w:t>
            </w:r>
          </w:p>
        </w:tc>
        <w:tc>
          <w:tcPr>
            <w:tcW w:w="7650" w:type="dxa"/>
            <w:tcMar>
              <w:top w:w="60" w:type="dxa"/>
              <w:left w:w="60" w:type="dxa"/>
              <w:bottom w:w="60" w:type="dxa"/>
              <w:right w:w="60" w:type="dxa"/>
            </w:tcMar>
          </w:tcPr>
          <w:p w14:paraId="693B3CEF" w14:textId="797D5B5C" w:rsidR="007E15DB" w:rsidRPr="00386B69" w:rsidRDefault="00F53206">
            <w:pPr>
              <w:rPr>
                <w:rFonts w:asciiTheme="majorHAnsi" w:hAnsiTheme="majorHAnsi" w:cstheme="majorHAnsi"/>
                <w:sz w:val="22"/>
              </w:rPr>
            </w:pPr>
            <w:r>
              <w:rPr>
                <w:rFonts w:asciiTheme="majorHAnsi" w:hAnsiTheme="majorHAnsi" w:cstheme="majorHAnsi"/>
              </w:rPr>
              <w:t>Informacione tehnologije</w:t>
            </w:r>
          </w:p>
        </w:tc>
      </w:tr>
      <w:tr w:rsidR="00386B69" w:rsidRPr="00386B69" w14:paraId="4A80C4AA" w14:textId="77777777" w:rsidTr="00495BBE">
        <w:trPr>
          <w:cantSplit/>
        </w:trPr>
        <w:tc>
          <w:tcPr>
            <w:tcW w:w="1182" w:type="dxa"/>
            <w:tcMar>
              <w:top w:w="60" w:type="dxa"/>
              <w:left w:w="60" w:type="dxa"/>
              <w:bottom w:w="60" w:type="dxa"/>
              <w:right w:w="60" w:type="dxa"/>
            </w:tcMar>
          </w:tcPr>
          <w:p w14:paraId="56119015" w14:textId="77777777" w:rsidR="007E15DB" w:rsidRPr="00386B69" w:rsidRDefault="00811B0E">
            <w:pPr>
              <w:rPr>
                <w:rFonts w:asciiTheme="majorHAnsi" w:hAnsiTheme="majorHAnsi" w:cstheme="majorHAnsi"/>
                <w:sz w:val="22"/>
              </w:rPr>
            </w:pPr>
            <w:r w:rsidRPr="00386B69">
              <w:rPr>
                <w:rFonts w:asciiTheme="majorHAnsi" w:hAnsiTheme="majorHAnsi" w:cstheme="majorHAnsi"/>
              </w:rPr>
              <w:t>MIT</w:t>
            </w:r>
          </w:p>
        </w:tc>
        <w:tc>
          <w:tcPr>
            <w:tcW w:w="7650" w:type="dxa"/>
            <w:tcMar>
              <w:top w:w="60" w:type="dxa"/>
              <w:left w:w="60" w:type="dxa"/>
              <w:bottom w:w="60" w:type="dxa"/>
              <w:right w:w="60" w:type="dxa"/>
            </w:tcMar>
          </w:tcPr>
          <w:p w14:paraId="7AD14CEB" w14:textId="1306564D" w:rsidR="007E15DB" w:rsidRPr="00386B69" w:rsidRDefault="00F53206">
            <w:pPr>
              <w:rPr>
                <w:rFonts w:asciiTheme="majorHAnsi" w:hAnsiTheme="majorHAnsi" w:cstheme="majorHAnsi"/>
                <w:sz w:val="22"/>
              </w:rPr>
            </w:pPr>
            <w:r w:rsidRPr="00F53206">
              <w:rPr>
                <w:rFonts w:asciiTheme="majorHAnsi" w:hAnsiTheme="majorHAnsi" w:cstheme="majorHAnsi"/>
              </w:rPr>
              <w:t>Ministarstvo informisanja i telekomunikacija</w:t>
            </w:r>
          </w:p>
        </w:tc>
      </w:tr>
      <w:tr w:rsidR="00386B69" w:rsidRPr="00386B69" w14:paraId="25D2DD1F" w14:textId="77777777" w:rsidTr="00495BBE">
        <w:trPr>
          <w:cantSplit/>
        </w:trPr>
        <w:tc>
          <w:tcPr>
            <w:tcW w:w="1182" w:type="dxa"/>
            <w:tcMar>
              <w:top w:w="60" w:type="dxa"/>
              <w:left w:w="60" w:type="dxa"/>
              <w:bottom w:w="60" w:type="dxa"/>
              <w:right w:w="60" w:type="dxa"/>
            </w:tcMar>
          </w:tcPr>
          <w:p w14:paraId="490579CF" w14:textId="77777777" w:rsidR="007E15DB" w:rsidRPr="00386B69" w:rsidRDefault="00811B0E">
            <w:pPr>
              <w:rPr>
                <w:rFonts w:asciiTheme="majorHAnsi" w:hAnsiTheme="majorHAnsi" w:cstheme="majorHAnsi"/>
                <w:sz w:val="22"/>
              </w:rPr>
            </w:pPr>
            <w:r w:rsidRPr="00386B69">
              <w:rPr>
                <w:rFonts w:asciiTheme="majorHAnsi" w:hAnsiTheme="majorHAnsi" w:cstheme="majorHAnsi"/>
              </w:rPr>
              <w:t>MoF</w:t>
            </w:r>
          </w:p>
        </w:tc>
        <w:tc>
          <w:tcPr>
            <w:tcW w:w="7650" w:type="dxa"/>
            <w:tcMar>
              <w:top w:w="60" w:type="dxa"/>
              <w:left w:w="60" w:type="dxa"/>
              <w:bottom w:w="60" w:type="dxa"/>
              <w:right w:w="60" w:type="dxa"/>
            </w:tcMar>
          </w:tcPr>
          <w:p w14:paraId="721EE20C" w14:textId="20F05C52" w:rsidR="007E15DB" w:rsidRPr="00386B69" w:rsidRDefault="004F7BD6">
            <w:pPr>
              <w:rPr>
                <w:rFonts w:asciiTheme="majorHAnsi" w:hAnsiTheme="majorHAnsi" w:cstheme="majorHAnsi"/>
                <w:sz w:val="22"/>
              </w:rPr>
            </w:pPr>
            <w:r>
              <w:rPr>
                <w:rFonts w:asciiTheme="majorHAnsi" w:hAnsiTheme="majorHAnsi" w:cstheme="majorHAnsi"/>
              </w:rPr>
              <w:t>Ministarstvo fin</w:t>
            </w:r>
            <w:r w:rsidR="00F53206">
              <w:rPr>
                <w:rFonts w:asciiTheme="majorHAnsi" w:hAnsiTheme="majorHAnsi" w:cstheme="majorHAnsi"/>
              </w:rPr>
              <w:t>a</w:t>
            </w:r>
            <w:r>
              <w:rPr>
                <w:rFonts w:asciiTheme="majorHAnsi" w:hAnsiTheme="majorHAnsi" w:cstheme="majorHAnsi"/>
              </w:rPr>
              <w:t>n</w:t>
            </w:r>
            <w:r w:rsidR="00F53206">
              <w:rPr>
                <w:rFonts w:asciiTheme="majorHAnsi" w:hAnsiTheme="majorHAnsi" w:cstheme="majorHAnsi"/>
              </w:rPr>
              <w:t>sija</w:t>
            </w:r>
          </w:p>
        </w:tc>
      </w:tr>
      <w:tr w:rsidR="00386B69" w:rsidRPr="00386B69" w14:paraId="6ED32CC1" w14:textId="77777777" w:rsidTr="00495BBE">
        <w:trPr>
          <w:cantSplit/>
        </w:trPr>
        <w:tc>
          <w:tcPr>
            <w:tcW w:w="1182" w:type="dxa"/>
            <w:tcMar>
              <w:top w:w="60" w:type="dxa"/>
              <w:left w:w="60" w:type="dxa"/>
              <w:bottom w:w="60" w:type="dxa"/>
              <w:right w:w="60" w:type="dxa"/>
            </w:tcMar>
          </w:tcPr>
          <w:p w14:paraId="2579C45B" w14:textId="77777777" w:rsidR="007E15DB" w:rsidRPr="00386B69" w:rsidRDefault="00811B0E">
            <w:pPr>
              <w:rPr>
                <w:rFonts w:asciiTheme="majorHAnsi" w:hAnsiTheme="majorHAnsi" w:cstheme="majorHAnsi"/>
                <w:sz w:val="22"/>
              </w:rPr>
            </w:pPr>
            <w:r w:rsidRPr="00386B69">
              <w:rPr>
                <w:rFonts w:asciiTheme="majorHAnsi" w:hAnsiTheme="majorHAnsi" w:cstheme="majorHAnsi"/>
              </w:rPr>
              <w:t>MoI</w:t>
            </w:r>
          </w:p>
        </w:tc>
        <w:tc>
          <w:tcPr>
            <w:tcW w:w="7650" w:type="dxa"/>
            <w:tcMar>
              <w:top w:w="60" w:type="dxa"/>
              <w:left w:w="60" w:type="dxa"/>
              <w:bottom w:w="60" w:type="dxa"/>
              <w:right w:w="60" w:type="dxa"/>
            </w:tcMar>
          </w:tcPr>
          <w:p w14:paraId="4B6EA595" w14:textId="4E50D782" w:rsidR="007E15DB" w:rsidRPr="00386B69" w:rsidRDefault="00F53206">
            <w:pPr>
              <w:rPr>
                <w:rFonts w:asciiTheme="majorHAnsi" w:hAnsiTheme="majorHAnsi" w:cstheme="majorHAnsi"/>
                <w:sz w:val="22"/>
              </w:rPr>
            </w:pPr>
            <w:r>
              <w:rPr>
                <w:rFonts w:asciiTheme="majorHAnsi" w:hAnsiTheme="majorHAnsi" w:cstheme="majorHAnsi"/>
              </w:rPr>
              <w:t>Ministarstvo unutrašnjih poslova</w:t>
            </w:r>
          </w:p>
        </w:tc>
      </w:tr>
      <w:tr w:rsidR="00386B69" w:rsidRPr="00802EE5" w14:paraId="75C5FB7E" w14:textId="77777777" w:rsidTr="00495BBE">
        <w:trPr>
          <w:cantSplit/>
        </w:trPr>
        <w:tc>
          <w:tcPr>
            <w:tcW w:w="1182" w:type="dxa"/>
            <w:tcMar>
              <w:top w:w="60" w:type="dxa"/>
              <w:left w:w="60" w:type="dxa"/>
              <w:bottom w:w="60" w:type="dxa"/>
              <w:right w:w="60" w:type="dxa"/>
            </w:tcMar>
          </w:tcPr>
          <w:p w14:paraId="3668C9F8" w14:textId="77777777" w:rsidR="007E15DB" w:rsidRPr="00386B69" w:rsidRDefault="00811B0E">
            <w:pPr>
              <w:rPr>
                <w:rFonts w:asciiTheme="majorHAnsi" w:hAnsiTheme="majorHAnsi" w:cstheme="majorHAnsi"/>
                <w:sz w:val="22"/>
              </w:rPr>
            </w:pPr>
            <w:r w:rsidRPr="00386B69">
              <w:rPr>
                <w:rFonts w:asciiTheme="majorHAnsi" w:hAnsiTheme="majorHAnsi" w:cstheme="majorHAnsi"/>
              </w:rPr>
              <w:t>NHIF</w:t>
            </w:r>
          </w:p>
        </w:tc>
        <w:tc>
          <w:tcPr>
            <w:tcW w:w="7650" w:type="dxa"/>
            <w:tcMar>
              <w:top w:w="60" w:type="dxa"/>
              <w:left w:w="60" w:type="dxa"/>
              <w:bottom w:w="60" w:type="dxa"/>
              <w:right w:w="60" w:type="dxa"/>
            </w:tcMar>
          </w:tcPr>
          <w:p w14:paraId="6D19119F" w14:textId="5DE4A58A" w:rsidR="007E15DB" w:rsidRPr="00B95F7C" w:rsidRDefault="00F53206">
            <w:pPr>
              <w:rPr>
                <w:rFonts w:asciiTheme="majorHAnsi" w:hAnsiTheme="majorHAnsi" w:cstheme="majorHAnsi"/>
                <w:sz w:val="22"/>
                <w:lang w:val="it-IT"/>
              </w:rPr>
            </w:pPr>
            <w:r w:rsidRPr="00B95F7C">
              <w:rPr>
                <w:rFonts w:asciiTheme="majorHAnsi" w:hAnsiTheme="majorHAnsi" w:cstheme="majorHAnsi"/>
                <w:lang w:val="it-IT"/>
              </w:rPr>
              <w:t>Republički fond za zdravstveno osiguranje</w:t>
            </w:r>
          </w:p>
        </w:tc>
      </w:tr>
      <w:tr w:rsidR="00386B69" w:rsidRPr="00802EE5" w14:paraId="1F2E0D47" w14:textId="77777777" w:rsidTr="00495BBE">
        <w:trPr>
          <w:cantSplit/>
        </w:trPr>
        <w:tc>
          <w:tcPr>
            <w:tcW w:w="1182" w:type="dxa"/>
            <w:tcMar>
              <w:top w:w="60" w:type="dxa"/>
              <w:left w:w="60" w:type="dxa"/>
              <w:bottom w:w="60" w:type="dxa"/>
              <w:right w:w="60" w:type="dxa"/>
            </w:tcMar>
          </w:tcPr>
          <w:p w14:paraId="474DFEFE" w14:textId="77777777" w:rsidR="007E15DB" w:rsidRPr="00386B69" w:rsidRDefault="00811B0E">
            <w:pPr>
              <w:rPr>
                <w:rFonts w:asciiTheme="majorHAnsi" w:hAnsiTheme="majorHAnsi" w:cstheme="majorHAnsi"/>
                <w:sz w:val="22"/>
              </w:rPr>
            </w:pPr>
            <w:r w:rsidRPr="00386B69">
              <w:rPr>
                <w:rFonts w:asciiTheme="majorHAnsi" w:hAnsiTheme="majorHAnsi" w:cstheme="majorHAnsi"/>
              </w:rPr>
              <w:t>OITEG</w:t>
            </w:r>
          </w:p>
        </w:tc>
        <w:tc>
          <w:tcPr>
            <w:tcW w:w="7650" w:type="dxa"/>
            <w:tcMar>
              <w:top w:w="60" w:type="dxa"/>
              <w:left w:w="60" w:type="dxa"/>
              <w:bottom w:w="60" w:type="dxa"/>
              <w:right w:w="60" w:type="dxa"/>
            </w:tcMar>
          </w:tcPr>
          <w:p w14:paraId="163C379C" w14:textId="205120E0" w:rsidR="007E15DB" w:rsidRPr="00B95F7C" w:rsidRDefault="00F53206">
            <w:pPr>
              <w:rPr>
                <w:rFonts w:asciiTheme="majorHAnsi" w:hAnsiTheme="majorHAnsi" w:cstheme="majorHAnsi"/>
                <w:sz w:val="22"/>
                <w:lang w:val="it-IT"/>
              </w:rPr>
            </w:pPr>
            <w:r w:rsidRPr="00B95F7C">
              <w:rPr>
                <w:rFonts w:asciiTheme="majorHAnsi" w:hAnsiTheme="majorHAnsi" w:cstheme="majorHAnsi"/>
                <w:lang w:val="it-IT"/>
              </w:rPr>
              <w:t>Kancelarija za informacione tehnologije i elektronsku upravu</w:t>
            </w:r>
          </w:p>
        </w:tc>
      </w:tr>
      <w:tr w:rsidR="00386B69" w:rsidRPr="00386B69" w14:paraId="5FC76246" w14:textId="77777777" w:rsidTr="00495BBE">
        <w:trPr>
          <w:cantSplit/>
        </w:trPr>
        <w:tc>
          <w:tcPr>
            <w:tcW w:w="1182" w:type="dxa"/>
            <w:tcMar>
              <w:top w:w="60" w:type="dxa"/>
              <w:left w:w="60" w:type="dxa"/>
              <w:bottom w:w="60" w:type="dxa"/>
              <w:right w:w="60" w:type="dxa"/>
            </w:tcMar>
          </w:tcPr>
          <w:p w14:paraId="44C019B6" w14:textId="77777777" w:rsidR="007E15DB" w:rsidRPr="00386B69" w:rsidRDefault="00811B0E">
            <w:pPr>
              <w:rPr>
                <w:rFonts w:asciiTheme="majorHAnsi" w:hAnsiTheme="majorHAnsi" w:cstheme="majorHAnsi"/>
                <w:sz w:val="22"/>
              </w:rPr>
            </w:pPr>
            <w:r w:rsidRPr="00386B69">
              <w:rPr>
                <w:rFonts w:asciiTheme="majorHAnsi" w:hAnsiTheme="majorHAnsi" w:cstheme="majorHAnsi"/>
              </w:rPr>
              <w:t>PAD</w:t>
            </w:r>
          </w:p>
        </w:tc>
        <w:tc>
          <w:tcPr>
            <w:tcW w:w="7650" w:type="dxa"/>
            <w:tcMar>
              <w:top w:w="60" w:type="dxa"/>
              <w:left w:w="60" w:type="dxa"/>
              <w:bottom w:w="60" w:type="dxa"/>
              <w:right w:w="60" w:type="dxa"/>
            </w:tcMar>
          </w:tcPr>
          <w:p w14:paraId="18A72872" w14:textId="6F24D175" w:rsidR="007E15DB" w:rsidRPr="00386B69" w:rsidRDefault="00F53206">
            <w:pPr>
              <w:rPr>
                <w:rFonts w:asciiTheme="majorHAnsi" w:hAnsiTheme="majorHAnsi" w:cstheme="majorHAnsi"/>
                <w:sz w:val="22"/>
              </w:rPr>
            </w:pPr>
            <w:r w:rsidRPr="00F53206">
              <w:rPr>
                <w:rFonts w:asciiTheme="majorHAnsi" w:hAnsiTheme="majorHAnsi" w:cstheme="majorHAnsi"/>
              </w:rPr>
              <w:t>Dokument o proceni projekta</w:t>
            </w:r>
          </w:p>
        </w:tc>
      </w:tr>
      <w:tr w:rsidR="00386B69" w:rsidRPr="00386B69" w14:paraId="45589F2C" w14:textId="77777777" w:rsidTr="00495BBE">
        <w:trPr>
          <w:cantSplit/>
        </w:trPr>
        <w:tc>
          <w:tcPr>
            <w:tcW w:w="1182" w:type="dxa"/>
            <w:tcMar>
              <w:top w:w="60" w:type="dxa"/>
              <w:left w:w="60" w:type="dxa"/>
              <w:bottom w:w="60" w:type="dxa"/>
              <w:right w:w="60" w:type="dxa"/>
            </w:tcMar>
          </w:tcPr>
          <w:p w14:paraId="7F11EE7E" w14:textId="77777777" w:rsidR="007E15DB" w:rsidRPr="00386B69" w:rsidRDefault="00811B0E">
            <w:pPr>
              <w:rPr>
                <w:rFonts w:asciiTheme="majorHAnsi" w:hAnsiTheme="majorHAnsi" w:cstheme="majorHAnsi"/>
                <w:sz w:val="22"/>
              </w:rPr>
            </w:pPr>
            <w:r w:rsidRPr="00386B69">
              <w:rPr>
                <w:rFonts w:asciiTheme="majorHAnsi" w:hAnsiTheme="majorHAnsi" w:cstheme="majorHAnsi"/>
              </w:rPr>
              <w:t>PAP</w:t>
            </w:r>
          </w:p>
        </w:tc>
        <w:tc>
          <w:tcPr>
            <w:tcW w:w="7650" w:type="dxa"/>
            <w:tcMar>
              <w:top w:w="60" w:type="dxa"/>
              <w:left w:w="60" w:type="dxa"/>
              <w:bottom w:w="60" w:type="dxa"/>
              <w:right w:w="60" w:type="dxa"/>
            </w:tcMar>
          </w:tcPr>
          <w:p w14:paraId="6DF75A85" w14:textId="326C9BD1" w:rsidR="007E15DB" w:rsidRPr="00386B69" w:rsidRDefault="00754A0D">
            <w:pPr>
              <w:rPr>
                <w:rFonts w:asciiTheme="majorHAnsi" w:hAnsiTheme="majorHAnsi" w:cstheme="majorHAnsi"/>
                <w:sz w:val="22"/>
              </w:rPr>
            </w:pPr>
            <w:r w:rsidRPr="00754A0D">
              <w:rPr>
                <w:rFonts w:asciiTheme="majorHAnsi" w:hAnsiTheme="majorHAnsi" w:cstheme="majorHAnsi"/>
              </w:rPr>
              <w:t>Strana pogođena projektom</w:t>
            </w:r>
          </w:p>
        </w:tc>
      </w:tr>
      <w:tr w:rsidR="00386B69" w:rsidRPr="00386B69" w14:paraId="2AD80C71" w14:textId="77777777" w:rsidTr="00495BBE">
        <w:trPr>
          <w:cantSplit/>
        </w:trPr>
        <w:tc>
          <w:tcPr>
            <w:tcW w:w="1182" w:type="dxa"/>
            <w:tcMar>
              <w:top w:w="60" w:type="dxa"/>
              <w:left w:w="60" w:type="dxa"/>
              <w:bottom w:w="60" w:type="dxa"/>
              <w:right w:w="60" w:type="dxa"/>
            </w:tcMar>
          </w:tcPr>
          <w:p w14:paraId="73DF2263" w14:textId="77777777" w:rsidR="007E15DB" w:rsidRPr="00386B69" w:rsidRDefault="00811B0E">
            <w:pPr>
              <w:rPr>
                <w:rFonts w:asciiTheme="majorHAnsi" w:hAnsiTheme="majorHAnsi" w:cstheme="majorHAnsi"/>
                <w:sz w:val="22"/>
              </w:rPr>
            </w:pPr>
            <w:r w:rsidRPr="00386B69">
              <w:rPr>
                <w:rFonts w:asciiTheme="majorHAnsi" w:hAnsiTheme="majorHAnsi" w:cstheme="majorHAnsi"/>
              </w:rPr>
              <w:t>PCN</w:t>
            </w:r>
          </w:p>
        </w:tc>
        <w:tc>
          <w:tcPr>
            <w:tcW w:w="7650" w:type="dxa"/>
            <w:tcMar>
              <w:top w:w="60" w:type="dxa"/>
              <w:left w:w="60" w:type="dxa"/>
              <w:bottom w:w="60" w:type="dxa"/>
              <w:right w:w="60" w:type="dxa"/>
            </w:tcMar>
          </w:tcPr>
          <w:p w14:paraId="52373423" w14:textId="73987B3F" w:rsidR="007E15DB" w:rsidRPr="00386B69" w:rsidRDefault="00754A0D">
            <w:pPr>
              <w:rPr>
                <w:rFonts w:asciiTheme="majorHAnsi" w:hAnsiTheme="majorHAnsi" w:cstheme="majorHAnsi"/>
                <w:sz w:val="22"/>
              </w:rPr>
            </w:pPr>
            <w:r>
              <w:rPr>
                <w:rFonts w:asciiTheme="majorHAnsi" w:hAnsiTheme="majorHAnsi" w:cstheme="majorHAnsi"/>
              </w:rPr>
              <w:t>Koncept projekta</w:t>
            </w:r>
          </w:p>
        </w:tc>
      </w:tr>
      <w:tr w:rsidR="00386B69" w:rsidRPr="00386B69" w14:paraId="75F0855B" w14:textId="77777777" w:rsidTr="00495BBE">
        <w:trPr>
          <w:cantSplit/>
        </w:trPr>
        <w:tc>
          <w:tcPr>
            <w:tcW w:w="1182" w:type="dxa"/>
            <w:tcMar>
              <w:top w:w="60" w:type="dxa"/>
              <w:left w:w="60" w:type="dxa"/>
              <w:bottom w:w="60" w:type="dxa"/>
              <w:right w:w="60" w:type="dxa"/>
            </w:tcMar>
          </w:tcPr>
          <w:p w14:paraId="3D6209D7" w14:textId="77777777" w:rsidR="007E15DB" w:rsidRPr="00386B69" w:rsidRDefault="00811B0E">
            <w:pPr>
              <w:rPr>
                <w:rFonts w:asciiTheme="majorHAnsi" w:hAnsiTheme="majorHAnsi" w:cstheme="majorHAnsi"/>
                <w:sz w:val="22"/>
              </w:rPr>
            </w:pPr>
            <w:r w:rsidRPr="00386B69">
              <w:rPr>
                <w:rFonts w:asciiTheme="majorHAnsi" w:hAnsiTheme="majorHAnsi" w:cstheme="majorHAnsi"/>
              </w:rPr>
              <w:t>PDO</w:t>
            </w:r>
          </w:p>
        </w:tc>
        <w:tc>
          <w:tcPr>
            <w:tcW w:w="7650" w:type="dxa"/>
            <w:tcMar>
              <w:top w:w="60" w:type="dxa"/>
              <w:left w:w="60" w:type="dxa"/>
              <w:bottom w:w="60" w:type="dxa"/>
              <w:right w:w="60" w:type="dxa"/>
            </w:tcMar>
          </w:tcPr>
          <w:p w14:paraId="75205F2F" w14:textId="47A0E844" w:rsidR="007E15DB" w:rsidRPr="00386B69" w:rsidRDefault="00754A0D">
            <w:pPr>
              <w:rPr>
                <w:rFonts w:asciiTheme="majorHAnsi" w:hAnsiTheme="majorHAnsi" w:cstheme="majorHAnsi"/>
                <w:sz w:val="22"/>
              </w:rPr>
            </w:pPr>
            <w:r>
              <w:rPr>
                <w:rFonts w:asciiTheme="majorHAnsi" w:hAnsiTheme="majorHAnsi" w:cstheme="majorHAnsi"/>
              </w:rPr>
              <w:t>Razvojni cilj projekta</w:t>
            </w:r>
          </w:p>
        </w:tc>
      </w:tr>
      <w:tr w:rsidR="00386B69" w:rsidRPr="00386B69" w14:paraId="231612BB" w14:textId="77777777" w:rsidTr="00495BBE">
        <w:trPr>
          <w:cantSplit/>
        </w:trPr>
        <w:tc>
          <w:tcPr>
            <w:tcW w:w="1182" w:type="dxa"/>
            <w:tcMar>
              <w:top w:w="60" w:type="dxa"/>
              <w:left w:w="60" w:type="dxa"/>
              <w:bottom w:w="60" w:type="dxa"/>
              <w:right w:w="60" w:type="dxa"/>
            </w:tcMar>
          </w:tcPr>
          <w:p w14:paraId="2738FADB" w14:textId="77777777" w:rsidR="007E15DB" w:rsidRPr="00386B69" w:rsidRDefault="00811B0E">
            <w:pPr>
              <w:rPr>
                <w:rFonts w:asciiTheme="majorHAnsi" w:hAnsiTheme="majorHAnsi" w:cstheme="majorHAnsi"/>
                <w:sz w:val="22"/>
              </w:rPr>
            </w:pPr>
            <w:r w:rsidRPr="00386B69">
              <w:rPr>
                <w:rFonts w:asciiTheme="majorHAnsi" w:hAnsiTheme="majorHAnsi" w:cstheme="majorHAnsi"/>
              </w:rPr>
              <w:t>PIU</w:t>
            </w:r>
          </w:p>
        </w:tc>
        <w:tc>
          <w:tcPr>
            <w:tcW w:w="7650" w:type="dxa"/>
            <w:tcMar>
              <w:top w:w="60" w:type="dxa"/>
              <w:left w:w="60" w:type="dxa"/>
              <w:bottom w:w="60" w:type="dxa"/>
              <w:right w:w="60" w:type="dxa"/>
            </w:tcMar>
          </w:tcPr>
          <w:p w14:paraId="4FFC74B5" w14:textId="0C2ABEF8" w:rsidR="007E15DB" w:rsidRPr="00386B69" w:rsidRDefault="00754A0D">
            <w:pPr>
              <w:rPr>
                <w:rFonts w:asciiTheme="majorHAnsi" w:hAnsiTheme="majorHAnsi" w:cstheme="majorHAnsi"/>
                <w:sz w:val="22"/>
              </w:rPr>
            </w:pPr>
            <w:r>
              <w:rPr>
                <w:rFonts w:asciiTheme="majorHAnsi" w:hAnsiTheme="majorHAnsi" w:cstheme="majorHAnsi"/>
              </w:rPr>
              <w:t>Jedinica za implementaciju projekta</w:t>
            </w:r>
          </w:p>
        </w:tc>
      </w:tr>
      <w:tr w:rsidR="00386B69" w:rsidRPr="00386B69" w14:paraId="72C9222A" w14:textId="77777777" w:rsidTr="00495BBE">
        <w:trPr>
          <w:cantSplit/>
        </w:trPr>
        <w:tc>
          <w:tcPr>
            <w:tcW w:w="1182" w:type="dxa"/>
            <w:tcMar>
              <w:top w:w="60" w:type="dxa"/>
              <w:left w:w="60" w:type="dxa"/>
              <w:bottom w:w="60" w:type="dxa"/>
              <w:right w:w="60" w:type="dxa"/>
            </w:tcMar>
          </w:tcPr>
          <w:p w14:paraId="20D954A5" w14:textId="77777777" w:rsidR="007E15DB" w:rsidRPr="00386B69" w:rsidRDefault="00811B0E">
            <w:pPr>
              <w:rPr>
                <w:rFonts w:asciiTheme="majorHAnsi" w:hAnsiTheme="majorHAnsi" w:cstheme="majorHAnsi"/>
                <w:sz w:val="22"/>
              </w:rPr>
            </w:pPr>
            <w:r w:rsidRPr="00386B69">
              <w:rPr>
                <w:rFonts w:asciiTheme="majorHAnsi" w:hAnsiTheme="majorHAnsi" w:cstheme="majorHAnsi"/>
              </w:rPr>
              <w:t>PSC</w:t>
            </w:r>
          </w:p>
        </w:tc>
        <w:tc>
          <w:tcPr>
            <w:tcW w:w="7650" w:type="dxa"/>
            <w:tcMar>
              <w:top w:w="60" w:type="dxa"/>
              <w:left w:w="60" w:type="dxa"/>
              <w:bottom w:w="60" w:type="dxa"/>
              <w:right w:w="60" w:type="dxa"/>
            </w:tcMar>
          </w:tcPr>
          <w:p w14:paraId="4C910712" w14:textId="1F3DD942" w:rsidR="007E15DB" w:rsidRPr="00386B69" w:rsidRDefault="007F5713">
            <w:pPr>
              <w:rPr>
                <w:rFonts w:asciiTheme="majorHAnsi" w:hAnsiTheme="majorHAnsi" w:cstheme="majorHAnsi"/>
                <w:sz w:val="22"/>
              </w:rPr>
            </w:pPr>
            <w:r>
              <w:rPr>
                <w:rFonts w:asciiTheme="majorHAnsi" w:hAnsiTheme="majorHAnsi" w:cstheme="majorHAnsi"/>
              </w:rPr>
              <w:t>Upravni odbor projekta</w:t>
            </w:r>
          </w:p>
        </w:tc>
      </w:tr>
      <w:tr w:rsidR="00386B69" w:rsidRPr="00386B69" w14:paraId="5A44556F" w14:textId="77777777" w:rsidTr="00495BBE">
        <w:trPr>
          <w:cantSplit/>
        </w:trPr>
        <w:tc>
          <w:tcPr>
            <w:tcW w:w="1182" w:type="dxa"/>
            <w:tcMar>
              <w:top w:w="60" w:type="dxa"/>
              <w:left w:w="60" w:type="dxa"/>
              <w:bottom w:w="60" w:type="dxa"/>
              <w:right w:w="60" w:type="dxa"/>
            </w:tcMar>
          </w:tcPr>
          <w:p w14:paraId="2930A34A" w14:textId="77777777" w:rsidR="007E15DB" w:rsidRPr="00386B69" w:rsidRDefault="00811B0E">
            <w:pPr>
              <w:rPr>
                <w:rFonts w:asciiTheme="majorHAnsi" w:hAnsiTheme="majorHAnsi" w:cstheme="majorHAnsi"/>
                <w:sz w:val="22"/>
              </w:rPr>
            </w:pPr>
            <w:r w:rsidRPr="00386B69">
              <w:rPr>
                <w:rFonts w:asciiTheme="majorHAnsi" w:hAnsiTheme="majorHAnsi" w:cstheme="majorHAnsi"/>
              </w:rPr>
              <w:t>RATEL</w:t>
            </w:r>
          </w:p>
        </w:tc>
        <w:tc>
          <w:tcPr>
            <w:tcW w:w="7650" w:type="dxa"/>
            <w:tcMar>
              <w:top w:w="60" w:type="dxa"/>
              <w:left w:w="60" w:type="dxa"/>
              <w:bottom w:w="60" w:type="dxa"/>
              <w:right w:w="60" w:type="dxa"/>
            </w:tcMar>
          </w:tcPr>
          <w:p w14:paraId="49F51570" w14:textId="3E12E21A" w:rsidR="007E15DB" w:rsidRPr="00386B69" w:rsidRDefault="007F5713">
            <w:pPr>
              <w:rPr>
                <w:rFonts w:asciiTheme="majorHAnsi" w:hAnsiTheme="majorHAnsi" w:cstheme="majorHAnsi"/>
                <w:sz w:val="22"/>
              </w:rPr>
            </w:pPr>
            <w:r w:rsidRPr="007F5713">
              <w:rPr>
                <w:rFonts w:asciiTheme="majorHAnsi" w:hAnsiTheme="majorHAnsi" w:cstheme="majorHAnsi"/>
              </w:rPr>
              <w:t>Regulatorna agencija za elektronske komunikacije i poštanske usluge</w:t>
            </w:r>
          </w:p>
        </w:tc>
      </w:tr>
      <w:tr w:rsidR="00386B69" w:rsidRPr="00386B69" w14:paraId="7EC7E5B2" w14:textId="77777777" w:rsidTr="00495BBE">
        <w:trPr>
          <w:cantSplit/>
        </w:trPr>
        <w:tc>
          <w:tcPr>
            <w:tcW w:w="1182" w:type="dxa"/>
            <w:tcMar>
              <w:top w:w="60" w:type="dxa"/>
              <w:left w:w="60" w:type="dxa"/>
              <w:bottom w:w="60" w:type="dxa"/>
              <w:right w:w="60" w:type="dxa"/>
            </w:tcMar>
          </w:tcPr>
          <w:p w14:paraId="0A8E64CF" w14:textId="77777777" w:rsidR="007E15DB" w:rsidRPr="00386B69" w:rsidRDefault="00811B0E">
            <w:pPr>
              <w:rPr>
                <w:rFonts w:asciiTheme="majorHAnsi" w:hAnsiTheme="majorHAnsi" w:cstheme="majorHAnsi"/>
                <w:sz w:val="22"/>
              </w:rPr>
            </w:pPr>
            <w:r w:rsidRPr="00386B69">
              <w:rPr>
                <w:rFonts w:asciiTheme="majorHAnsi" w:hAnsiTheme="majorHAnsi" w:cstheme="majorHAnsi"/>
              </w:rPr>
              <w:t>SEP</w:t>
            </w:r>
          </w:p>
        </w:tc>
        <w:tc>
          <w:tcPr>
            <w:tcW w:w="7650" w:type="dxa"/>
            <w:tcMar>
              <w:top w:w="60" w:type="dxa"/>
              <w:left w:w="60" w:type="dxa"/>
              <w:bottom w:w="60" w:type="dxa"/>
              <w:right w:w="60" w:type="dxa"/>
            </w:tcMar>
          </w:tcPr>
          <w:p w14:paraId="13BE18BE" w14:textId="0D1A1816" w:rsidR="007E15DB" w:rsidRPr="00386B69" w:rsidRDefault="007F5713">
            <w:pPr>
              <w:rPr>
                <w:rFonts w:asciiTheme="majorHAnsi" w:hAnsiTheme="majorHAnsi" w:cstheme="majorHAnsi"/>
                <w:sz w:val="22"/>
              </w:rPr>
            </w:pPr>
            <w:r w:rsidRPr="007F5713">
              <w:rPr>
                <w:rFonts w:asciiTheme="majorHAnsi" w:hAnsiTheme="majorHAnsi" w:cstheme="majorHAnsi"/>
              </w:rPr>
              <w:t>Plan angažovanja zainteresovanih strana</w:t>
            </w:r>
          </w:p>
        </w:tc>
      </w:tr>
      <w:tr w:rsidR="00386B69" w:rsidRPr="00802EE5" w14:paraId="04E37517" w14:textId="77777777" w:rsidTr="00495BBE">
        <w:trPr>
          <w:cantSplit/>
        </w:trPr>
        <w:tc>
          <w:tcPr>
            <w:tcW w:w="1182" w:type="dxa"/>
            <w:tcMar>
              <w:top w:w="60" w:type="dxa"/>
              <w:left w:w="60" w:type="dxa"/>
              <w:bottom w:w="60" w:type="dxa"/>
              <w:right w:w="60" w:type="dxa"/>
            </w:tcMar>
          </w:tcPr>
          <w:p w14:paraId="55C3D21A" w14:textId="77777777" w:rsidR="007E15DB" w:rsidRPr="00386B69" w:rsidRDefault="00811B0E">
            <w:pPr>
              <w:rPr>
                <w:rFonts w:asciiTheme="majorHAnsi" w:hAnsiTheme="majorHAnsi" w:cstheme="majorHAnsi"/>
                <w:sz w:val="22"/>
              </w:rPr>
            </w:pPr>
            <w:r w:rsidRPr="00386B69">
              <w:rPr>
                <w:rFonts w:asciiTheme="majorHAnsi" w:hAnsiTheme="majorHAnsi" w:cstheme="majorHAnsi"/>
              </w:rPr>
              <w:t>SERVIS</w:t>
            </w:r>
          </w:p>
        </w:tc>
        <w:tc>
          <w:tcPr>
            <w:tcW w:w="7650" w:type="dxa"/>
            <w:tcMar>
              <w:top w:w="60" w:type="dxa"/>
              <w:left w:w="60" w:type="dxa"/>
              <w:bottom w:w="60" w:type="dxa"/>
              <w:right w:w="60" w:type="dxa"/>
            </w:tcMar>
          </w:tcPr>
          <w:p w14:paraId="546013C6" w14:textId="4D9206FB" w:rsidR="007E15DB" w:rsidRPr="00B95F7C" w:rsidRDefault="0066179D">
            <w:pPr>
              <w:rPr>
                <w:rFonts w:asciiTheme="majorHAnsi" w:hAnsiTheme="majorHAnsi" w:cstheme="majorHAnsi"/>
                <w:sz w:val="22"/>
                <w:lang w:val="it-IT"/>
              </w:rPr>
            </w:pPr>
            <w:r w:rsidRPr="00B95F7C">
              <w:rPr>
                <w:rFonts w:asciiTheme="majorHAnsi" w:hAnsiTheme="majorHAnsi" w:cstheme="majorHAnsi"/>
                <w:lang w:val="it-IT"/>
              </w:rPr>
              <w:t>Ekosistem Srbije za otporne, proverljive i inkluzivne usluge</w:t>
            </w:r>
          </w:p>
        </w:tc>
      </w:tr>
      <w:tr w:rsidR="00386B69" w:rsidRPr="00386B69" w14:paraId="6C0E09F4" w14:textId="77777777" w:rsidTr="00495BBE">
        <w:trPr>
          <w:cantSplit/>
        </w:trPr>
        <w:tc>
          <w:tcPr>
            <w:tcW w:w="1182" w:type="dxa"/>
            <w:tcMar>
              <w:top w:w="60" w:type="dxa"/>
              <w:left w:w="60" w:type="dxa"/>
              <w:bottom w:w="60" w:type="dxa"/>
              <w:right w:w="60" w:type="dxa"/>
            </w:tcMar>
          </w:tcPr>
          <w:p w14:paraId="250FA4E3" w14:textId="77777777" w:rsidR="007E15DB" w:rsidRPr="00386B69" w:rsidRDefault="00811B0E">
            <w:pPr>
              <w:rPr>
                <w:rFonts w:asciiTheme="majorHAnsi" w:hAnsiTheme="majorHAnsi" w:cstheme="majorHAnsi"/>
                <w:sz w:val="22"/>
              </w:rPr>
            </w:pPr>
            <w:r w:rsidRPr="00386B69">
              <w:rPr>
                <w:rFonts w:asciiTheme="majorHAnsi" w:hAnsiTheme="majorHAnsi" w:cstheme="majorHAnsi"/>
              </w:rPr>
              <w:t>SME</w:t>
            </w:r>
          </w:p>
        </w:tc>
        <w:tc>
          <w:tcPr>
            <w:tcW w:w="7650" w:type="dxa"/>
            <w:tcMar>
              <w:top w:w="60" w:type="dxa"/>
              <w:left w:w="60" w:type="dxa"/>
              <w:bottom w:w="60" w:type="dxa"/>
              <w:right w:w="60" w:type="dxa"/>
            </w:tcMar>
          </w:tcPr>
          <w:p w14:paraId="64354E69" w14:textId="614E4738" w:rsidR="007E15DB" w:rsidRPr="00386B69" w:rsidRDefault="007F5713">
            <w:pPr>
              <w:rPr>
                <w:rFonts w:asciiTheme="majorHAnsi" w:hAnsiTheme="majorHAnsi" w:cstheme="majorHAnsi"/>
                <w:sz w:val="22"/>
              </w:rPr>
            </w:pPr>
            <w:r>
              <w:rPr>
                <w:rFonts w:asciiTheme="majorHAnsi" w:hAnsiTheme="majorHAnsi" w:cstheme="majorHAnsi"/>
              </w:rPr>
              <w:t>Mala i srednja preduzeća</w:t>
            </w:r>
          </w:p>
        </w:tc>
      </w:tr>
      <w:tr w:rsidR="00386B69" w:rsidRPr="00386B69" w14:paraId="4AC6C872" w14:textId="77777777" w:rsidTr="00495BBE">
        <w:trPr>
          <w:cantSplit/>
        </w:trPr>
        <w:tc>
          <w:tcPr>
            <w:tcW w:w="1182" w:type="dxa"/>
            <w:tcMar>
              <w:top w:w="60" w:type="dxa"/>
              <w:left w:w="60" w:type="dxa"/>
              <w:bottom w:w="60" w:type="dxa"/>
              <w:right w:w="60" w:type="dxa"/>
            </w:tcMar>
          </w:tcPr>
          <w:p w14:paraId="71A0C07C" w14:textId="77777777" w:rsidR="007E15DB" w:rsidRPr="00386B69" w:rsidRDefault="00811B0E">
            <w:pPr>
              <w:rPr>
                <w:rFonts w:asciiTheme="majorHAnsi" w:hAnsiTheme="majorHAnsi" w:cstheme="majorHAnsi"/>
                <w:sz w:val="22"/>
              </w:rPr>
            </w:pPr>
            <w:r w:rsidRPr="00386B69">
              <w:rPr>
                <w:rFonts w:asciiTheme="majorHAnsi" w:hAnsiTheme="majorHAnsi" w:cstheme="majorHAnsi"/>
              </w:rPr>
              <w:t>WB</w:t>
            </w:r>
          </w:p>
        </w:tc>
        <w:tc>
          <w:tcPr>
            <w:tcW w:w="7650" w:type="dxa"/>
            <w:tcMar>
              <w:top w:w="60" w:type="dxa"/>
              <w:left w:w="60" w:type="dxa"/>
              <w:bottom w:w="60" w:type="dxa"/>
              <w:right w:w="60" w:type="dxa"/>
            </w:tcMar>
          </w:tcPr>
          <w:p w14:paraId="3F055626" w14:textId="4AD4D874" w:rsidR="007E15DB" w:rsidRPr="00386B69" w:rsidRDefault="00754A0D">
            <w:pPr>
              <w:rPr>
                <w:rFonts w:asciiTheme="majorHAnsi" w:hAnsiTheme="majorHAnsi" w:cstheme="majorHAnsi"/>
                <w:sz w:val="22"/>
              </w:rPr>
            </w:pPr>
            <w:r>
              <w:rPr>
                <w:rFonts w:asciiTheme="majorHAnsi" w:hAnsiTheme="majorHAnsi" w:cstheme="majorHAnsi"/>
              </w:rPr>
              <w:t>Svetska banka</w:t>
            </w:r>
          </w:p>
        </w:tc>
      </w:tr>
    </w:tbl>
    <w:p w14:paraId="470492AF" w14:textId="1FA18C19" w:rsidR="007E15DB" w:rsidRPr="00386B69" w:rsidRDefault="009E04B5" w:rsidP="00AC0E2C">
      <w:pPr>
        <w:ind w:left="720" w:right="576"/>
        <w:rPr>
          <w:rFonts w:asciiTheme="majorHAnsi" w:hAnsiTheme="majorHAnsi" w:cstheme="majorHAnsi"/>
          <w:sz w:val="22"/>
        </w:rPr>
      </w:pPr>
      <w:r>
        <w:rPr>
          <w:rFonts w:asciiTheme="majorHAnsi" w:hAnsiTheme="majorHAnsi" w:cstheme="majorHAnsi"/>
          <w:sz w:val="22"/>
        </w:rPr>
        <w:br w:type="textWrapping" w:clear="all"/>
      </w:r>
    </w:p>
    <w:p w14:paraId="53D21094" w14:textId="3106476A" w:rsidR="007E15DB" w:rsidRPr="00611C08" w:rsidRDefault="00811B0E" w:rsidP="00611C08">
      <w:pPr>
        <w:pStyle w:val="ListParagraph"/>
        <w:numPr>
          <w:ilvl w:val="2"/>
          <w:numId w:val="11"/>
        </w:numPr>
        <w:ind w:right="576"/>
        <w:rPr>
          <w:rFonts w:asciiTheme="majorHAnsi" w:hAnsiTheme="majorHAnsi" w:cstheme="majorHAnsi"/>
          <w:b/>
          <w:bCs/>
          <w:sz w:val="22"/>
        </w:rPr>
      </w:pPr>
      <w:r w:rsidRPr="00611C08">
        <w:rPr>
          <w:rFonts w:asciiTheme="majorHAnsi" w:hAnsiTheme="majorHAnsi" w:cstheme="majorHAnsi"/>
          <w:sz w:val="22"/>
        </w:rPr>
        <w:br w:type="page"/>
      </w:r>
      <w:r w:rsidR="0066179D">
        <w:rPr>
          <w:rFonts w:asciiTheme="majorHAnsi" w:hAnsiTheme="majorHAnsi" w:cstheme="majorHAnsi"/>
          <w:b/>
          <w:bCs/>
          <w:sz w:val="22"/>
        </w:rPr>
        <w:lastRenderedPageBreak/>
        <w:t xml:space="preserve">Uvod </w:t>
      </w:r>
      <w:r w:rsidR="00BF29E6">
        <w:rPr>
          <w:rFonts w:asciiTheme="majorHAnsi" w:hAnsiTheme="majorHAnsi" w:cstheme="majorHAnsi"/>
          <w:b/>
          <w:bCs/>
          <w:sz w:val="22"/>
        </w:rPr>
        <w:t>i</w:t>
      </w:r>
      <w:r w:rsidR="0066179D">
        <w:rPr>
          <w:rFonts w:asciiTheme="majorHAnsi" w:hAnsiTheme="majorHAnsi" w:cstheme="majorHAnsi"/>
          <w:b/>
          <w:bCs/>
          <w:sz w:val="22"/>
        </w:rPr>
        <w:t xml:space="preserve"> opis projekta</w:t>
      </w:r>
    </w:p>
    <w:p w14:paraId="3CD2DB80" w14:textId="11FDCF81" w:rsidR="007E15DB" w:rsidRPr="00386B69" w:rsidRDefault="0066179D" w:rsidP="00AC0E2C">
      <w:pPr>
        <w:pStyle w:val="Heading2"/>
        <w:numPr>
          <w:ilvl w:val="1"/>
          <w:numId w:val="11"/>
        </w:numPr>
        <w:spacing w:before="60" w:after="120"/>
        <w:ind w:left="720" w:right="576"/>
        <w:jc w:val="both"/>
        <w:rPr>
          <w:rFonts w:cstheme="majorHAnsi"/>
          <w:color w:val="auto"/>
          <w:sz w:val="22"/>
          <w:szCs w:val="22"/>
        </w:rPr>
      </w:pPr>
      <w:r>
        <w:rPr>
          <w:rFonts w:eastAsia="Arial" w:cstheme="majorHAnsi"/>
          <w:color w:val="auto"/>
          <w:sz w:val="22"/>
          <w:szCs w:val="22"/>
        </w:rPr>
        <w:t>Uvod</w:t>
      </w:r>
    </w:p>
    <w:p w14:paraId="003BA042" w14:textId="38CEE73B" w:rsidR="007E15DB" w:rsidRPr="00386B69" w:rsidRDefault="00BF29E6" w:rsidP="00AC0E2C">
      <w:pPr>
        <w:spacing w:after="120" w:line="252" w:lineRule="auto"/>
        <w:ind w:left="720" w:right="576"/>
        <w:jc w:val="both"/>
        <w:rPr>
          <w:rFonts w:asciiTheme="majorHAnsi" w:hAnsiTheme="majorHAnsi" w:cstheme="majorHAnsi"/>
          <w:sz w:val="22"/>
        </w:rPr>
      </w:pPr>
      <w:r w:rsidRPr="00BF29E6">
        <w:rPr>
          <w:rFonts w:asciiTheme="majorHAnsi" w:hAnsiTheme="majorHAnsi" w:cstheme="majorHAnsi"/>
          <w:sz w:val="22"/>
        </w:rPr>
        <w:t>Vlada Republike Sr</w:t>
      </w:r>
      <w:r>
        <w:rPr>
          <w:rFonts w:asciiTheme="majorHAnsi" w:hAnsiTheme="majorHAnsi" w:cstheme="majorHAnsi"/>
          <w:sz w:val="22"/>
        </w:rPr>
        <w:t>bije, uz finansiranje Svetske banke</w:t>
      </w:r>
      <w:r w:rsidRPr="00BF29E6">
        <w:rPr>
          <w:rFonts w:asciiTheme="majorHAnsi" w:hAnsiTheme="majorHAnsi" w:cstheme="majorHAnsi"/>
          <w:sz w:val="22"/>
        </w:rPr>
        <w:t>, priprema Projekat „Ekosistem Srbije za otporne, proverljive i inkluzivne usluge” (SERVIS, P514497). Projekat će podržati dalju digitalnu transformaciju Srbije jačanjem osnova i isporuke digitalnih javnih usluga usmerenih na korisnike, uključujući uvođenje Digitalnog novčanika, unapređenje sajber bezbednosti, digitalne usluge zasnovane na veštačkoj inteligenciji, mere digitalne inkluzije i jačanje institucionalnih kapaciteta</w:t>
      </w:r>
      <w:r w:rsidR="00811B0E" w:rsidRPr="00386B69">
        <w:rPr>
          <w:rFonts w:asciiTheme="majorHAnsi" w:hAnsiTheme="majorHAnsi" w:cstheme="majorHAnsi"/>
          <w:sz w:val="22"/>
        </w:rPr>
        <w:t>.</w:t>
      </w:r>
    </w:p>
    <w:p w14:paraId="0A7FC6E4" w14:textId="0200A429" w:rsidR="007E15DB" w:rsidRPr="00386B69" w:rsidRDefault="00BF29E6" w:rsidP="00AC0E2C">
      <w:pPr>
        <w:spacing w:after="120" w:line="252" w:lineRule="auto"/>
        <w:ind w:left="720" w:right="576"/>
        <w:jc w:val="both"/>
        <w:rPr>
          <w:rFonts w:asciiTheme="majorHAnsi" w:hAnsiTheme="majorHAnsi" w:cstheme="majorHAnsi"/>
          <w:sz w:val="22"/>
        </w:rPr>
      </w:pPr>
      <w:r w:rsidRPr="00BF29E6">
        <w:rPr>
          <w:rFonts w:asciiTheme="majorHAnsi" w:hAnsiTheme="majorHAnsi" w:cstheme="majorHAnsi"/>
          <w:sz w:val="22"/>
        </w:rPr>
        <w:t xml:space="preserve">Ovaj Plan angažovanja zainteresovanih strana (SEP) pripremljen je u skladu sa Ekološkim i društvenim okvirom </w:t>
      </w:r>
      <w:r>
        <w:rPr>
          <w:rFonts w:asciiTheme="majorHAnsi" w:hAnsiTheme="majorHAnsi" w:cstheme="majorHAnsi"/>
          <w:sz w:val="22"/>
        </w:rPr>
        <w:t>Svetske banke</w:t>
      </w:r>
      <w:r w:rsidRPr="00BF29E6">
        <w:rPr>
          <w:rFonts w:asciiTheme="majorHAnsi" w:hAnsiTheme="majorHAnsi" w:cstheme="majorHAnsi"/>
          <w:sz w:val="22"/>
        </w:rPr>
        <w:t xml:space="preserve">, posebno Ekološkim i društvenim standardom 10: </w:t>
      </w:r>
      <w:r w:rsidR="00E50DE5">
        <w:rPr>
          <w:rFonts w:asciiTheme="majorHAnsi" w:hAnsiTheme="majorHAnsi" w:cstheme="majorHAnsi"/>
          <w:sz w:val="22"/>
        </w:rPr>
        <w:t>Angažovanje</w:t>
      </w:r>
      <w:r w:rsidRPr="00BF29E6">
        <w:rPr>
          <w:rFonts w:asciiTheme="majorHAnsi" w:hAnsiTheme="majorHAnsi" w:cstheme="majorHAnsi"/>
          <w:sz w:val="22"/>
        </w:rPr>
        <w:t xml:space="preserve"> zainteresovanih strana i objavljivanje informacija (ESS10). ESS10 prepoznaje značaj otvorenog i transparentnog angažovanja između zajmoprimca i zainteresovanih strana projekta kao ključnog elementa dobre međunarodne prakse. Efektivno uključivanje zainteresovanih strana može unaprediti dizajn i implementaciju projekta, ojačati poverenje javnosti, unaprediti inkluziju i pomoći u blagovremenom identifikovanju i rešavanju problema</w:t>
      </w:r>
      <w:r w:rsidR="00811B0E" w:rsidRPr="00386B69">
        <w:rPr>
          <w:rFonts w:asciiTheme="majorHAnsi" w:hAnsiTheme="majorHAnsi" w:cstheme="majorHAnsi"/>
          <w:sz w:val="22"/>
        </w:rPr>
        <w:t>.</w:t>
      </w:r>
    </w:p>
    <w:p w14:paraId="62FDD42C" w14:textId="40DB1353" w:rsidR="007E15DB" w:rsidRPr="00B95F7C" w:rsidRDefault="00BF29E6" w:rsidP="00AC0E2C">
      <w:pPr>
        <w:spacing w:after="120" w:line="252" w:lineRule="auto"/>
        <w:ind w:left="720" w:right="576"/>
        <w:jc w:val="both"/>
        <w:rPr>
          <w:rFonts w:asciiTheme="majorHAnsi" w:hAnsiTheme="majorHAnsi" w:cstheme="majorHAnsi"/>
          <w:sz w:val="22"/>
          <w:lang w:val="it-IT"/>
        </w:rPr>
      </w:pPr>
      <w:r w:rsidRPr="00BF29E6">
        <w:rPr>
          <w:rFonts w:asciiTheme="majorHAnsi" w:hAnsiTheme="majorHAnsi" w:cstheme="majorHAnsi"/>
          <w:sz w:val="22"/>
        </w:rPr>
        <w:t xml:space="preserve">Ovaj SEP je osmišljen kao pojednostavljen i proporcionalan instrument, koji odražava nisku procenu ekoloških i društvenih rizika projekta i njegov digitalni i institucionalni karakter. </w:t>
      </w:r>
      <w:r w:rsidRPr="00B95F7C">
        <w:rPr>
          <w:rFonts w:asciiTheme="majorHAnsi" w:hAnsiTheme="majorHAnsi" w:cstheme="majorHAnsi"/>
          <w:sz w:val="22"/>
          <w:lang w:val="it-IT"/>
        </w:rPr>
        <w:t>Njime se definiše kako će zainteresovane strane biti informisane, konsultovane i kako će moći da dostavljaju povratne informacije ili podnose žalbe tokom pripreme i implementacije projekta</w:t>
      </w:r>
      <w:r w:rsidR="00811B0E" w:rsidRPr="00B95F7C">
        <w:rPr>
          <w:rFonts w:asciiTheme="majorHAnsi" w:hAnsiTheme="majorHAnsi" w:cstheme="majorHAnsi"/>
          <w:sz w:val="22"/>
          <w:lang w:val="it-IT"/>
        </w:rPr>
        <w:t>.</w:t>
      </w:r>
    </w:p>
    <w:p w14:paraId="3EC17ECE" w14:textId="7D106128" w:rsidR="007E15DB" w:rsidRPr="00386B69" w:rsidRDefault="00DC1486" w:rsidP="00AC0E2C">
      <w:pPr>
        <w:pStyle w:val="Heading2"/>
        <w:numPr>
          <w:ilvl w:val="1"/>
          <w:numId w:val="11"/>
        </w:numPr>
        <w:spacing w:before="60" w:after="120"/>
        <w:ind w:left="720" w:right="576"/>
        <w:jc w:val="both"/>
        <w:rPr>
          <w:rFonts w:cstheme="majorHAnsi"/>
          <w:color w:val="auto"/>
          <w:sz w:val="22"/>
          <w:szCs w:val="22"/>
        </w:rPr>
      </w:pPr>
      <w:r>
        <w:rPr>
          <w:rFonts w:eastAsia="Arial" w:cstheme="majorHAnsi"/>
          <w:color w:val="auto"/>
          <w:sz w:val="22"/>
          <w:szCs w:val="22"/>
        </w:rPr>
        <w:t>Pregled projekta</w:t>
      </w:r>
    </w:p>
    <w:p w14:paraId="76A2758C" w14:textId="1EC7BE51" w:rsidR="00DC1486" w:rsidRPr="00DC1486" w:rsidRDefault="00DC1486" w:rsidP="00DC1486">
      <w:pPr>
        <w:spacing w:after="120" w:line="252" w:lineRule="auto"/>
        <w:ind w:left="720" w:right="576"/>
        <w:jc w:val="both"/>
        <w:rPr>
          <w:rFonts w:asciiTheme="majorHAnsi" w:hAnsiTheme="majorHAnsi" w:cstheme="majorHAnsi"/>
          <w:sz w:val="22"/>
          <w:lang w:val="en-GB"/>
        </w:rPr>
      </w:pPr>
      <w:r w:rsidRPr="00DC1486">
        <w:rPr>
          <w:rFonts w:asciiTheme="majorHAnsi" w:hAnsiTheme="majorHAnsi" w:cstheme="majorHAnsi"/>
          <w:sz w:val="22"/>
          <w:lang w:val="en-GB"/>
        </w:rPr>
        <w:t>Projekat SERVIS ima za cilj unapređenje dostupnosti, kvaliteta, pouzdanosti i otpornosti izabranih digitalnih javnih usluga u Srbiji. Projekat će podržati razvoj i primenu Digitalnog novčanika, jačanje sajber bezbednosti i digitalne infrastrukture državne uprave, unapređenje odabranih digitalnih javnih usluga, podršku razvoj</w:t>
      </w:r>
      <w:r w:rsidR="00EC3E8D">
        <w:rPr>
          <w:rFonts w:asciiTheme="majorHAnsi" w:hAnsiTheme="majorHAnsi" w:cstheme="majorHAnsi"/>
          <w:sz w:val="22"/>
          <w:lang w:val="en-GB"/>
        </w:rPr>
        <w:t xml:space="preserve">u veštačke inteligencije i </w:t>
      </w:r>
      <w:r w:rsidRPr="00DC1486">
        <w:rPr>
          <w:rFonts w:asciiTheme="majorHAnsi" w:hAnsiTheme="majorHAnsi" w:cstheme="majorHAnsi"/>
          <w:sz w:val="22"/>
          <w:lang w:val="en-GB"/>
        </w:rPr>
        <w:t>osnova</w:t>
      </w:r>
      <w:r w:rsidR="00EC3E8D">
        <w:rPr>
          <w:rFonts w:asciiTheme="majorHAnsi" w:hAnsiTheme="majorHAnsi" w:cstheme="majorHAnsi"/>
          <w:sz w:val="22"/>
          <w:lang w:val="en-GB"/>
        </w:rPr>
        <w:t xml:space="preserve"> podataka</w:t>
      </w:r>
      <w:r w:rsidRPr="00DC1486">
        <w:rPr>
          <w:rFonts w:asciiTheme="majorHAnsi" w:hAnsiTheme="majorHAnsi" w:cstheme="majorHAnsi"/>
          <w:sz w:val="22"/>
          <w:lang w:val="en-GB"/>
        </w:rPr>
        <w:t>, kao i jačanje kapaciteta u okviru državne uprave, akademske zajednice i privatnog sektora.</w:t>
      </w:r>
    </w:p>
    <w:p w14:paraId="688AAFA9" w14:textId="46046AF7" w:rsidR="00F0110C" w:rsidRPr="00EC3E8D" w:rsidRDefault="00EC3E8D" w:rsidP="00EC3E8D">
      <w:pPr>
        <w:spacing w:after="120" w:line="252" w:lineRule="auto"/>
        <w:ind w:left="720" w:right="576"/>
        <w:jc w:val="both"/>
        <w:rPr>
          <w:rFonts w:asciiTheme="majorHAnsi" w:hAnsiTheme="majorHAnsi" w:cstheme="majorHAnsi"/>
          <w:sz w:val="22"/>
          <w:lang w:val="en-GB"/>
        </w:rPr>
      </w:pPr>
      <w:r>
        <w:rPr>
          <w:rFonts w:asciiTheme="majorHAnsi" w:hAnsiTheme="majorHAnsi" w:cstheme="majorHAnsi"/>
          <w:sz w:val="22"/>
          <w:lang w:val="en-GB"/>
        </w:rPr>
        <w:t xml:space="preserve">Projekat </w:t>
      </w:r>
      <w:r w:rsidR="00DC1486" w:rsidRPr="00DC1486">
        <w:rPr>
          <w:rFonts w:asciiTheme="majorHAnsi" w:hAnsiTheme="majorHAnsi" w:cstheme="majorHAnsi"/>
          <w:sz w:val="22"/>
          <w:lang w:val="en-GB"/>
        </w:rPr>
        <w:t>sprovodi Kancelarija za informacione tehnologije i elektronsku upravu, oslanjajući se na postignuti napredak ostvaren u okviru Projekta unapređenja digit</w:t>
      </w:r>
      <w:r>
        <w:rPr>
          <w:rFonts w:asciiTheme="majorHAnsi" w:hAnsiTheme="majorHAnsi" w:cstheme="majorHAnsi"/>
          <w:sz w:val="22"/>
          <w:lang w:val="en-GB"/>
        </w:rPr>
        <w:t>alnog upravljanja (EDGE)</w:t>
      </w:r>
      <w:r w:rsidR="00DC1486" w:rsidRPr="00DC1486">
        <w:rPr>
          <w:rFonts w:asciiTheme="majorHAnsi" w:hAnsiTheme="majorHAnsi" w:cstheme="majorHAnsi"/>
          <w:sz w:val="22"/>
          <w:lang w:val="en-GB"/>
        </w:rPr>
        <w:t>. Očekuje se da će projekat SERVIS biti finansiran kroz operaciju Finansiranja investicionih projekata u iznosu od 59 miliona američkih dolara u ekvivalentu. Očekivani datum završetka projekta j</w:t>
      </w:r>
      <w:r>
        <w:rPr>
          <w:rFonts w:asciiTheme="majorHAnsi" w:hAnsiTheme="majorHAnsi" w:cstheme="majorHAnsi"/>
          <w:sz w:val="22"/>
          <w:lang w:val="en-GB"/>
        </w:rPr>
        <w:t>e 30. septembar 2031. godine.</w:t>
      </w:r>
    </w:p>
    <w:p w14:paraId="46EC0752" w14:textId="2B81C8ED" w:rsidR="007E15DB" w:rsidRPr="00386B69" w:rsidRDefault="007E15DB" w:rsidP="00AC0E2C">
      <w:pPr>
        <w:spacing w:after="120" w:line="252" w:lineRule="auto"/>
        <w:ind w:left="720" w:right="576"/>
        <w:jc w:val="both"/>
        <w:rPr>
          <w:rFonts w:asciiTheme="majorHAnsi" w:hAnsiTheme="majorHAnsi" w:cstheme="majorHAnsi"/>
          <w:sz w:val="22"/>
        </w:rPr>
      </w:pPr>
    </w:p>
    <w:p w14:paraId="67E1A03D" w14:textId="2597D6C9" w:rsidR="007E15DB" w:rsidRPr="00386B69" w:rsidRDefault="00EC3E8D" w:rsidP="00AC0E2C">
      <w:pPr>
        <w:pStyle w:val="Heading2"/>
        <w:numPr>
          <w:ilvl w:val="1"/>
          <w:numId w:val="11"/>
        </w:numPr>
        <w:spacing w:before="60" w:after="120"/>
        <w:ind w:left="720" w:right="576"/>
        <w:jc w:val="both"/>
        <w:rPr>
          <w:rFonts w:cstheme="majorHAnsi"/>
          <w:color w:val="auto"/>
          <w:sz w:val="22"/>
          <w:szCs w:val="22"/>
        </w:rPr>
      </w:pPr>
      <w:r>
        <w:rPr>
          <w:rFonts w:eastAsia="Arial" w:cstheme="majorHAnsi"/>
          <w:color w:val="auto"/>
          <w:sz w:val="22"/>
          <w:szCs w:val="22"/>
        </w:rPr>
        <w:t>Komponente projekta</w:t>
      </w:r>
    </w:p>
    <w:p w14:paraId="55CD40FD" w14:textId="2BD2F390" w:rsidR="007E15DB" w:rsidRPr="00386B69" w:rsidRDefault="00324552" w:rsidP="00AC0E2C">
      <w:pPr>
        <w:spacing w:after="120" w:line="252" w:lineRule="auto"/>
        <w:ind w:left="720" w:right="576"/>
        <w:jc w:val="both"/>
        <w:rPr>
          <w:rFonts w:asciiTheme="majorHAnsi" w:hAnsiTheme="majorHAnsi" w:cstheme="majorHAnsi"/>
          <w:sz w:val="22"/>
        </w:rPr>
      </w:pPr>
      <w:r>
        <w:rPr>
          <w:rFonts w:asciiTheme="majorHAnsi" w:hAnsiTheme="majorHAnsi" w:cstheme="majorHAnsi"/>
          <w:sz w:val="22"/>
        </w:rPr>
        <w:t>Projekat se sastoji od pet komponenti</w:t>
      </w:r>
      <w:r w:rsidR="00811B0E" w:rsidRPr="00386B69">
        <w:rPr>
          <w:rFonts w:asciiTheme="majorHAnsi" w:hAnsiTheme="majorHAnsi" w:cstheme="majorHAnsi"/>
          <w:sz w:val="22"/>
        </w:rPr>
        <w:t>:</w:t>
      </w:r>
    </w:p>
    <w:p w14:paraId="3E431B47" w14:textId="197A4CA5" w:rsidR="007E15DB" w:rsidRPr="00685A1B" w:rsidRDefault="00EC3E8D" w:rsidP="00AC0E2C">
      <w:pPr>
        <w:spacing w:after="120" w:line="252" w:lineRule="auto"/>
        <w:ind w:left="720" w:right="576"/>
        <w:jc w:val="both"/>
        <w:rPr>
          <w:rFonts w:asciiTheme="majorHAnsi" w:hAnsiTheme="majorHAnsi" w:cstheme="majorHAnsi"/>
          <w:bCs/>
          <w:sz w:val="22"/>
        </w:rPr>
      </w:pPr>
      <w:r>
        <w:rPr>
          <w:rFonts w:asciiTheme="majorHAnsi" w:hAnsiTheme="majorHAnsi" w:cstheme="majorHAnsi"/>
          <w:bCs/>
          <w:sz w:val="22"/>
        </w:rPr>
        <w:t>Komponenta</w:t>
      </w:r>
      <w:r w:rsidR="00811B0E" w:rsidRPr="00685A1B">
        <w:rPr>
          <w:rFonts w:asciiTheme="majorHAnsi" w:hAnsiTheme="majorHAnsi" w:cstheme="majorHAnsi"/>
          <w:bCs/>
          <w:sz w:val="22"/>
        </w:rPr>
        <w:t xml:space="preserve"> 1: </w:t>
      </w:r>
      <w:r w:rsidRPr="00EC3E8D">
        <w:rPr>
          <w:rFonts w:asciiTheme="majorHAnsi" w:hAnsiTheme="majorHAnsi" w:cstheme="majorHAnsi"/>
          <w:bCs/>
          <w:sz w:val="22"/>
        </w:rPr>
        <w:t xml:space="preserve">Ova komponenta će unaprediti sajber bezbednost i informacionu bezbednost u Srbiji, uključujući podršku i upravljanje u oblasti sajber bezbednosti, </w:t>
      </w:r>
      <w:r w:rsidRPr="004F7BD6">
        <w:rPr>
          <w:rFonts w:asciiTheme="majorHAnsi" w:hAnsiTheme="majorHAnsi" w:cstheme="majorHAnsi"/>
          <w:bCs/>
          <w:sz w:val="22"/>
        </w:rPr>
        <w:t xml:space="preserve">Državni </w:t>
      </w:r>
      <w:r w:rsidR="00397E86" w:rsidRPr="004F7BD6">
        <w:rPr>
          <w:rFonts w:asciiTheme="majorHAnsi" w:hAnsiTheme="majorHAnsi" w:cstheme="majorHAnsi"/>
          <w:bCs/>
          <w:sz w:val="22"/>
        </w:rPr>
        <w:t>klaud</w:t>
      </w:r>
      <w:r w:rsidRPr="00B97485">
        <w:rPr>
          <w:rFonts w:asciiTheme="majorHAnsi" w:hAnsiTheme="majorHAnsi" w:cstheme="majorHAnsi"/>
          <w:bCs/>
          <w:color w:val="FF0000"/>
          <w:sz w:val="22"/>
        </w:rPr>
        <w:t xml:space="preserve"> </w:t>
      </w:r>
      <w:r w:rsidRPr="00EC3E8D">
        <w:rPr>
          <w:rFonts w:asciiTheme="majorHAnsi" w:hAnsiTheme="majorHAnsi" w:cstheme="majorHAnsi"/>
          <w:bCs/>
          <w:sz w:val="22"/>
        </w:rPr>
        <w:t xml:space="preserve">(G-Cloud) i Državni centar za bezbednosne operacije (G-SOC). Komponenta će podržati upravljanje sajber bezbednošću, zaštitu kritične informacionе infrastrukture, bezbedne i otporne usluge državnog </w:t>
      </w:r>
      <w:r w:rsidR="004F7BD6">
        <w:rPr>
          <w:rFonts w:asciiTheme="majorHAnsi" w:hAnsiTheme="majorHAnsi" w:cstheme="majorHAnsi"/>
          <w:bCs/>
          <w:sz w:val="22"/>
        </w:rPr>
        <w:t>klauda</w:t>
      </w:r>
      <w:r w:rsidRPr="00EC3E8D">
        <w:rPr>
          <w:rFonts w:asciiTheme="majorHAnsi" w:hAnsiTheme="majorHAnsi" w:cstheme="majorHAnsi"/>
          <w:bCs/>
          <w:sz w:val="22"/>
        </w:rPr>
        <w:t>, kao i napredno otkrivanje pretnji i reagovanje na incidente</w:t>
      </w:r>
      <w:r w:rsidR="00811B0E" w:rsidRPr="00685A1B">
        <w:rPr>
          <w:rFonts w:asciiTheme="majorHAnsi" w:hAnsiTheme="majorHAnsi" w:cstheme="majorHAnsi"/>
          <w:bCs/>
          <w:sz w:val="22"/>
        </w:rPr>
        <w:t>.</w:t>
      </w:r>
    </w:p>
    <w:p w14:paraId="2F7A45D1" w14:textId="452B865C" w:rsidR="007E15DB" w:rsidRPr="00685A1B" w:rsidRDefault="00324552" w:rsidP="00AC0E2C">
      <w:pPr>
        <w:spacing w:after="120" w:line="252" w:lineRule="auto"/>
        <w:ind w:left="720" w:right="576"/>
        <w:jc w:val="both"/>
        <w:rPr>
          <w:rFonts w:asciiTheme="majorHAnsi" w:hAnsiTheme="majorHAnsi" w:cstheme="majorHAnsi"/>
          <w:bCs/>
          <w:sz w:val="22"/>
        </w:rPr>
      </w:pPr>
      <w:r>
        <w:rPr>
          <w:rFonts w:asciiTheme="majorHAnsi" w:hAnsiTheme="majorHAnsi" w:cstheme="majorHAnsi"/>
          <w:bCs/>
          <w:sz w:val="22"/>
        </w:rPr>
        <w:t>Komponenta</w:t>
      </w:r>
      <w:r w:rsidR="00811B0E" w:rsidRPr="00685A1B">
        <w:rPr>
          <w:rFonts w:asciiTheme="majorHAnsi" w:hAnsiTheme="majorHAnsi" w:cstheme="majorHAnsi"/>
          <w:bCs/>
          <w:sz w:val="22"/>
        </w:rPr>
        <w:t xml:space="preserve"> 2: </w:t>
      </w:r>
      <w:r w:rsidR="00B97485" w:rsidRPr="00B97485">
        <w:rPr>
          <w:rFonts w:asciiTheme="majorHAnsi" w:hAnsiTheme="majorHAnsi" w:cstheme="majorHAnsi"/>
          <w:bCs/>
          <w:sz w:val="22"/>
        </w:rPr>
        <w:t>Ova komponenta će podržati uvođenje Digitalnog novčanika Srbije, uključujući upravljačke, regulatorne i institucionalne aranžmane, osnovnu infrastrukturu i mehanizme interoperabilnosti. Takođe će podržati nacionalne osnove za veštačku inteligenciju i podatke, uključujući razvoj resursa za veštačku inteligenciju na srpskom jeziku, upravljanje podacima, kao i saradnju sa akademskom zajednicom, istraživačkim institucijama i akterima iz privatnog sektora</w:t>
      </w:r>
      <w:r w:rsidR="00811B0E" w:rsidRPr="00685A1B">
        <w:rPr>
          <w:rFonts w:asciiTheme="majorHAnsi" w:hAnsiTheme="majorHAnsi" w:cstheme="majorHAnsi"/>
          <w:bCs/>
          <w:sz w:val="22"/>
        </w:rPr>
        <w:t>.</w:t>
      </w:r>
    </w:p>
    <w:p w14:paraId="00D5204C" w14:textId="59C76783" w:rsidR="007E15DB" w:rsidRPr="00B95F7C" w:rsidRDefault="00B97485" w:rsidP="00AC0E2C">
      <w:pPr>
        <w:spacing w:after="120" w:line="252" w:lineRule="auto"/>
        <w:ind w:left="720" w:right="576"/>
        <w:jc w:val="both"/>
        <w:rPr>
          <w:rFonts w:asciiTheme="majorHAnsi" w:hAnsiTheme="majorHAnsi" w:cstheme="majorHAnsi"/>
          <w:bCs/>
          <w:sz w:val="22"/>
          <w:lang w:val="it-IT"/>
        </w:rPr>
      </w:pPr>
      <w:r w:rsidRPr="00B95F7C">
        <w:rPr>
          <w:rFonts w:asciiTheme="majorHAnsi" w:hAnsiTheme="majorHAnsi" w:cstheme="majorHAnsi"/>
          <w:bCs/>
          <w:sz w:val="22"/>
          <w:lang w:val="it-IT"/>
        </w:rPr>
        <w:t>Komponenta</w:t>
      </w:r>
      <w:r w:rsidR="00397E86" w:rsidRPr="00B95F7C">
        <w:rPr>
          <w:rFonts w:asciiTheme="majorHAnsi" w:hAnsiTheme="majorHAnsi" w:cstheme="majorHAnsi"/>
          <w:bCs/>
          <w:sz w:val="22"/>
          <w:lang w:val="it-IT"/>
        </w:rPr>
        <w:t xml:space="preserve"> 3: Veštačka inteligencija i digitalne usluge</w:t>
      </w:r>
      <w:r w:rsidR="00811B0E" w:rsidRPr="00B95F7C">
        <w:rPr>
          <w:rFonts w:asciiTheme="majorHAnsi" w:hAnsiTheme="majorHAnsi" w:cstheme="majorHAnsi"/>
          <w:bCs/>
          <w:sz w:val="22"/>
          <w:lang w:val="it-IT"/>
        </w:rPr>
        <w:t xml:space="preserve">. </w:t>
      </w:r>
      <w:r w:rsidR="00397E86" w:rsidRPr="00B95F7C">
        <w:rPr>
          <w:rFonts w:asciiTheme="majorHAnsi" w:hAnsiTheme="majorHAnsi" w:cstheme="majorHAnsi"/>
          <w:bCs/>
          <w:sz w:val="22"/>
          <w:lang w:val="it-IT"/>
        </w:rPr>
        <w:t xml:space="preserve">Ova komponenta će podržati institucionalne reforme i jačanje kapaciteta, redizajn i digitalizaciju odabranih javnih usluga visokog uticaja, </w:t>
      </w:r>
      <w:r w:rsidR="00397E86" w:rsidRPr="00B95F7C">
        <w:rPr>
          <w:rFonts w:asciiTheme="majorHAnsi" w:hAnsiTheme="majorHAnsi" w:cstheme="majorHAnsi"/>
          <w:bCs/>
          <w:sz w:val="22"/>
          <w:lang w:val="it-IT"/>
        </w:rPr>
        <w:lastRenderedPageBreak/>
        <w:t>automatizaciju procesa zasnovanu na veštačkoj inteligenciji, slučajeve upotrebe Digitalnog novčanika, kao i razvoj preduzetničkog ekosistema u oblasti vladinih tehnologija (GovTech). Komponenta će obuhvatiti aktivnosti obuke i jačanja kapaciteta za državne službenike, akademsku zajednicu, ma</w:t>
      </w:r>
      <w:r w:rsidR="00EA0B35">
        <w:rPr>
          <w:rFonts w:asciiTheme="majorHAnsi" w:hAnsiTheme="majorHAnsi" w:cstheme="majorHAnsi"/>
          <w:bCs/>
          <w:sz w:val="22"/>
          <w:lang w:val="it-IT"/>
        </w:rPr>
        <w:t>la i srednja preduzeća, startapove</w:t>
      </w:r>
      <w:r w:rsidR="00397E86" w:rsidRPr="00B95F7C">
        <w:rPr>
          <w:rFonts w:asciiTheme="majorHAnsi" w:hAnsiTheme="majorHAnsi" w:cstheme="majorHAnsi"/>
          <w:bCs/>
          <w:sz w:val="22"/>
          <w:lang w:val="it-IT"/>
        </w:rPr>
        <w:t xml:space="preserve"> i nedovoljno obuhvaćene društvene grupe</w:t>
      </w:r>
      <w:r w:rsidR="00811B0E" w:rsidRPr="00B95F7C">
        <w:rPr>
          <w:rFonts w:asciiTheme="majorHAnsi" w:hAnsiTheme="majorHAnsi" w:cstheme="majorHAnsi"/>
          <w:bCs/>
          <w:sz w:val="22"/>
          <w:lang w:val="it-IT"/>
        </w:rPr>
        <w:t>.</w:t>
      </w:r>
    </w:p>
    <w:p w14:paraId="0B44AE06" w14:textId="6D7C5139" w:rsidR="007E15DB" w:rsidRPr="00B95F7C" w:rsidRDefault="00397E86" w:rsidP="00AC0E2C">
      <w:pPr>
        <w:spacing w:after="120" w:line="252" w:lineRule="auto"/>
        <w:ind w:left="720" w:right="576"/>
        <w:jc w:val="both"/>
        <w:rPr>
          <w:rFonts w:asciiTheme="majorHAnsi" w:hAnsiTheme="majorHAnsi" w:cstheme="majorHAnsi"/>
          <w:bCs/>
          <w:sz w:val="22"/>
          <w:lang w:val="it-IT"/>
        </w:rPr>
      </w:pPr>
      <w:r w:rsidRPr="00B95F7C">
        <w:rPr>
          <w:rFonts w:asciiTheme="majorHAnsi" w:hAnsiTheme="majorHAnsi" w:cstheme="majorHAnsi"/>
          <w:bCs/>
          <w:sz w:val="22"/>
          <w:lang w:val="it-IT"/>
        </w:rPr>
        <w:t>Komponenta</w:t>
      </w:r>
      <w:r w:rsidR="0053343D" w:rsidRPr="00B95F7C">
        <w:rPr>
          <w:rFonts w:asciiTheme="majorHAnsi" w:hAnsiTheme="majorHAnsi" w:cstheme="majorHAnsi"/>
          <w:bCs/>
          <w:sz w:val="22"/>
          <w:lang w:val="it-IT"/>
        </w:rPr>
        <w:t xml:space="preserve"> 4: Upravljanje projektom</w:t>
      </w:r>
      <w:r w:rsidR="00811B0E" w:rsidRPr="00B95F7C">
        <w:rPr>
          <w:rFonts w:asciiTheme="majorHAnsi" w:hAnsiTheme="majorHAnsi" w:cstheme="majorHAnsi"/>
          <w:bCs/>
          <w:sz w:val="22"/>
          <w:lang w:val="it-IT"/>
        </w:rPr>
        <w:t xml:space="preserve">. </w:t>
      </w:r>
      <w:r w:rsidR="0053343D" w:rsidRPr="00B95F7C">
        <w:rPr>
          <w:rFonts w:asciiTheme="majorHAnsi" w:hAnsiTheme="majorHAnsi" w:cstheme="majorHAnsi"/>
          <w:bCs/>
          <w:sz w:val="22"/>
          <w:lang w:val="it-IT"/>
        </w:rPr>
        <w:t>Ova komponenta će finansirati upravljanje projektom, podršku implementaciji, nezavisne revizije, jačanje kapaciteta Jedinice za implementaciju projekta (PIU), komunikacije, angažovanje građana i Mehanizam za podnošenje i rešavanje žalbi (GRM</w:t>
      </w:r>
      <w:r w:rsidR="00811B0E" w:rsidRPr="00B95F7C">
        <w:rPr>
          <w:rFonts w:asciiTheme="majorHAnsi" w:hAnsiTheme="majorHAnsi" w:cstheme="majorHAnsi"/>
          <w:bCs/>
          <w:sz w:val="22"/>
          <w:lang w:val="it-IT"/>
        </w:rPr>
        <w:t>).</w:t>
      </w:r>
    </w:p>
    <w:p w14:paraId="64D4C850" w14:textId="59BE85A0" w:rsidR="007E15DB" w:rsidRPr="00B95F7C" w:rsidRDefault="00397E86" w:rsidP="00AC0E2C">
      <w:pPr>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bCs/>
          <w:sz w:val="22"/>
          <w:lang w:val="it-IT"/>
        </w:rPr>
        <w:t>Komponenta</w:t>
      </w:r>
      <w:r w:rsidR="00811B0E" w:rsidRPr="00B95F7C">
        <w:rPr>
          <w:rFonts w:asciiTheme="majorHAnsi" w:hAnsiTheme="majorHAnsi" w:cstheme="majorHAnsi"/>
          <w:bCs/>
          <w:sz w:val="22"/>
          <w:lang w:val="it-IT"/>
        </w:rPr>
        <w:t xml:space="preserve"> 5: </w:t>
      </w:r>
      <w:r w:rsidR="0053343D" w:rsidRPr="00B95F7C">
        <w:rPr>
          <w:rFonts w:asciiTheme="majorHAnsi" w:hAnsiTheme="majorHAnsi" w:cstheme="majorHAnsi"/>
          <w:bCs/>
          <w:sz w:val="22"/>
          <w:lang w:val="it-IT"/>
        </w:rPr>
        <w:t>Digitalna komponenta za hitni od</w:t>
      </w:r>
      <w:r w:rsidR="008B1755" w:rsidRPr="00B95F7C">
        <w:rPr>
          <w:rFonts w:asciiTheme="majorHAnsi" w:hAnsiTheme="majorHAnsi" w:cstheme="majorHAnsi"/>
          <w:bCs/>
          <w:sz w:val="22"/>
          <w:lang w:val="it-IT"/>
        </w:rPr>
        <w:t>govor / sajber CERC</w:t>
      </w:r>
      <w:r w:rsidR="00811B0E" w:rsidRPr="00B95F7C">
        <w:rPr>
          <w:rFonts w:asciiTheme="majorHAnsi" w:hAnsiTheme="majorHAnsi" w:cstheme="majorHAnsi"/>
          <w:bCs/>
          <w:sz w:val="22"/>
          <w:lang w:val="it-IT"/>
        </w:rPr>
        <w:t xml:space="preserve">. </w:t>
      </w:r>
      <w:r w:rsidR="008B1755" w:rsidRPr="00B95F7C">
        <w:rPr>
          <w:rFonts w:asciiTheme="majorHAnsi" w:hAnsiTheme="majorHAnsi" w:cstheme="majorHAnsi"/>
          <w:bCs/>
          <w:sz w:val="22"/>
          <w:lang w:val="it-IT"/>
        </w:rPr>
        <w:t>Ova komponenta će obezbediti mehanizam za podršku brzom reagovanju na prihvatljive vanredne situacije, uključujući velike sajber napade ili prekide u radu kritičnih digitalnih sistema, uz uslov aktivacije procedura koje će biti definisane u odgovarajućem CERC priručniku i Planu hitnih mera</w:t>
      </w:r>
      <w:r w:rsidR="00811B0E" w:rsidRPr="00B95F7C">
        <w:rPr>
          <w:rFonts w:asciiTheme="majorHAnsi" w:hAnsiTheme="majorHAnsi" w:cstheme="majorHAnsi"/>
          <w:sz w:val="22"/>
          <w:lang w:val="it-IT"/>
        </w:rPr>
        <w:t>.</w:t>
      </w:r>
    </w:p>
    <w:p w14:paraId="521589E1" w14:textId="5C35D3BD" w:rsidR="007E15DB" w:rsidRPr="00B95F7C" w:rsidRDefault="00E50DE5" w:rsidP="00AC0E2C">
      <w:pPr>
        <w:pStyle w:val="Heading2"/>
        <w:numPr>
          <w:ilvl w:val="1"/>
          <w:numId w:val="11"/>
        </w:numPr>
        <w:spacing w:before="60" w:after="120"/>
        <w:ind w:left="720" w:right="576"/>
        <w:jc w:val="both"/>
        <w:rPr>
          <w:rFonts w:cstheme="majorHAnsi"/>
          <w:color w:val="auto"/>
          <w:sz w:val="22"/>
          <w:szCs w:val="22"/>
          <w:lang w:val="it-IT"/>
        </w:rPr>
      </w:pPr>
      <w:r w:rsidRPr="00B95F7C">
        <w:rPr>
          <w:rFonts w:eastAsia="Arial" w:cstheme="majorHAnsi"/>
          <w:color w:val="auto"/>
          <w:sz w:val="22"/>
          <w:szCs w:val="22"/>
          <w:lang w:val="it-IT"/>
        </w:rPr>
        <w:t>Svrha i ciljevi Plana angažovanja zainteresovanih strana (SEP)</w:t>
      </w:r>
    </w:p>
    <w:p w14:paraId="1F57529C" w14:textId="3C92C741" w:rsidR="007E15DB" w:rsidRPr="00386B69" w:rsidRDefault="00D33DEA" w:rsidP="00AC0E2C">
      <w:pPr>
        <w:spacing w:after="120" w:line="252" w:lineRule="auto"/>
        <w:ind w:left="720" w:right="576"/>
        <w:jc w:val="both"/>
        <w:rPr>
          <w:rFonts w:asciiTheme="majorHAnsi" w:hAnsiTheme="majorHAnsi" w:cstheme="majorHAnsi"/>
          <w:sz w:val="22"/>
        </w:rPr>
      </w:pPr>
      <w:r w:rsidRPr="00B95F7C">
        <w:rPr>
          <w:rFonts w:asciiTheme="majorHAnsi" w:hAnsiTheme="majorHAnsi" w:cstheme="majorHAnsi"/>
          <w:sz w:val="22"/>
          <w:lang w:val="it-IT"/>
        </w:rPr>
        <w:t xml:space="preserve">Svrha Plana angažovanja zainteresovanih strana (SEP) je da definiše praktičan i proporcionalan pristup angažovanju zainteresovanih strana za Projekat SERVIS. </w:t>
      </w:r>
      <w:r>
        <w:rPr>
          <w:rFonts w:asciiTheme="majorHAnsi" w:hAnsiTheme="majorHAnsi" w:cstheme="majorHAnsi"/>
          <w:sz w:val="22"/>
        </w:rPr>
        <w:t xml:space="preserve">SEP ima </w:t>
      </w:r>
      <w:r w:rsidR="00910711">
        <w:rPr>
          <w:rFonts w:asciiTheme="majorHAnsi" w:hAnsiTheme="majorHAnsi" w:cstheme="majorHAnsi"/>
          <w:sz w:val="22"/>
        </w:rPr>
        <w:t>za cilj da</w:t>
      </w:r>
      <w:r w:rsidR="00811B0E" w:rsidRPr="00386B69">
        <w:rPr>
          <w:rFonts w:asciiTheme="majorHAnsi" w:hAnsiTheme="majorHAnsi" w:cstheme="majorHAnsi"/>
          <w:sz w:val="22"/>
        </w:rPr>
        <w:t>:</w:t>
      </w:r>
    </w:p>
    <w:p w14:paraId="7408E44A" w14:textId="58DF6430" w:rsidR="007E15DB" w:rsidRPr="00B95F7C" w:rsidRDefault="00910711"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identifikuje zainteresovane strane projekta, uključujući strane pogođene projektom, druge zainteresovane strane, kao i ugrožene ili ranjive grupe</w:t>
      </w:r>
      <w:r w:rsidR="00811B0E" w:rsidRPr="00B95F7C">
        <w:rPr>
          <w:rFonts w:asciiTheme="majorHAnsi" w:hAnsiTheme="majorHAnsi" w:cstheme="majorHAnsi"/>
          <w:sz w:val="22"/>
          <w:lang w:val="it-IT"/>
        </w:rPr>
        <w:t>;</w:t>
      </w:r>
    </w:p>
    <w:p w14:paraId="142ADEE0" w14:textId="2FB3C45E" w:rsidR="007E15DB" w:rsidRPr="00B95F7C" w:rsidRDefault="00910711"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definiše metode za objavljivanje informacija, konsultacije, prikupljanje povratnih informacija korisnika i izveštavanje zainteresovanih strana</w:t>
      </w:r>
      <w:r w:rsidR="00811B0E" w:rsidRPr="00B95F7C">
        <w:rPr>
          <w:rFonts w:asciiTheme="majorHAnsi" w:hAnsiTheme="majorHAnsi" w:cstheme="majorHAnsi"/>
          <w:sz w:val="22"/>
          <w:lang w:val="it-IT"/>
        </w:rPr>
        <w:t>;</w:t>
      </w:r>
    </w:p>
    <w:p w14:paraId="4BB4F1BE" w14:textId="26B93C2C" w:rsidR="007E15DB" w:rsidRPr="00B95F7C" w:rsidRDefault="00910711"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promoviše inkluzivno učešće, posebno među grupama koje mogu imati prepreke u pristupu ili korišćenju digitalnih usluga</w:t>
      </w:r>
      <w:r w:rsidR="00811B0E" w:rsidRPr="00B95F7C">
        <w:rPr>
          <w:rFonts w:asciiTheme="majorHAnsi" w:hAnsiTheme="majorHAnsi" w:cstheme="majorHAnsi"/>
          <w:sz w:val="22"/>
          <w:lang w:val="it-IT"/>
        </w:rPr>
        <w:t>;</w:t>
      </w:r>
    </w:p>
    <w:p w14:paraId="77AAF2F7" w14:textId="5987D568" w:rsidR="007E15DB" w:rsidRPr="00B95F7C" w:rsidRDefault="009661FD"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podrži javno razumevanje i poverenje u digitalne usluge podržane projektom, uključujući Digitalni novčanik i usluge zasnovane na veštačkoj inteligenciji</w:t>
      </w:r>
      <w:r w:rsidR="00F0110C" w:rsidRPr="00B95F7C">
        <w:rPr>
          <w:rFonts w:asciiTheme="majorHAnsi" w:hAnsiTheme="majorHAnsi" w:cstheme="majorHAnsi"/>
          <w:sz w:val="22"/>
          <w:lang w:val="it-IT"/>
        </w:rPr>
        <w:t>.</w:t>
      </w:r>
    </w:p>
    <w:p w14:paraId="7437F1FA" w14:textId="16962B0C" w:rsidR="007E15DB" w:rsidRPr="00B95F7C" w:rsidRDefault="00C63F34"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uspostavi aranžmane za prijem, upravljanje i odgovaranje na žalbe i povratne informacije; i</w:t>
      </w:r>
    </w:p>
    <w:p w14:paraId="214AF497" w14:textId="01A0E119" w:rsidR="007E15DB" w:rsidRPr="00B95F7C" w:rsidRDefault="00BD424B"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razjasni odgovornosti za sprovođenje, praćenje i izveštavanje o aktivnostima angažovanja zainteresovanih strana</w:t>
      </w:r>
      <w:r w:rsidR="00811B0E" w:rsidRPr="00B95F7C">
        <w:rPr>
          <w:rFonts w:asciiTheme="majorHAnsi" w:hAnsiTheme="majorHAnsi" w:cstheme="majorHAnsi"/>
          <w:sz w:val="22"/>
          <w:lang w:val="it-IT"/>
        </w:rPr>
        <w:t>.</w:t>
      </w:r>
    </w:p>
    <w:p w14:paraId="276AC852" w14:textId="09D4B617" w:rsidR="00F0110C" w:rsidRPr="00B95F7C" w:rsidRDefault="00BD424B" w:rsidP="00F0110C">
      <w:pPr>
        <w:jc w:val="both"/>
        <w:rPr>
          <w:lang w:val="it-IT"/>
        </w:rPr>
      </w:pPr>
      <w:r w:rsidRPr="00B95F7C">
        <w:rPr>
          <w:lang w:val="it-IT"/>
        </w:rPr>
        <w:t>SEP je pripremljen u skladu sa</w:t>
      </w:r>
      <w:r w:rsidR="00F0110C" w:rsidRPr="00B95F7C">
        <w:rPr>
          <w:lang w:val="it-IT"/>
        </w:rPr>
        <w:t>:</w:t>
      </w:r>
    </w:p>
    <w:p w14:paraId="4693A74A" w14:textId="200FA126" w:rsidR="00F0110C" w:rsidRPr="00B95F7C" w:rsidRDefault="00BD424B" w:rsidP="00F0110C">
      <w:pPr>
        <w:numPr>
          <w:ilvl w:val="0"/>
          <w:numId w:val="24"/>
        </w:numPr>
        <w:spacing w:after="160" w:line="259" w:lineRule="auto"/>
        <w:jc w:val="both"/>
        <w:rPr>
          <w:lang w:val="it-IT"/>
        </w:rPr>
      </w:pPr>
      <w:r w:rsidRPr="00B95F7C">
        <w:rPr>
          <w:lang w:val="it-IT"/>
        </w:rPr>
        <w:t>Ekološkim i društvenim standardom 10 (ESS10) o angažovanju zainteresovanih strana i objavljivanju informacija Svetske banke</w:t>
      </w:r>
      <w:r w:rsidR="00F0110C" w:rsidRPr="00B95F7C">
        <w:rPr>
          <w:lang w:val="it-IT"/>
        </w:rPr>
        <w:t>;</w:t>
      </w:r>
    </w:p>
    <w:p w14:paraId="29858FE3" w14:textId="685D1999" w:rsidR="00F0110C" w:rsidRPr="00B95F7C" w:rsidRDefault="00BD424B" w:rsidP="00F0110C">
      <w:pPr>
        <w:numPr>
          <w:ilvl w:val="0"/>
          <w:numId w:val="24"/>
        </w:numPr>
        <w:spacing w:after="160" w:line="259" w:lineRule="auto"/>
        <w:jc w:val="both"/>
        <w:rPr>
          <w:lang w:val="it-IT"/>
        </w:rPr>
      </w:pPr>
      <w:r w:rsidRPr="00B95F7C">
        <w:rPr>
          <w:lang w:val="it-IT"/>
        </w:rPr>
        <w:t>Politikom o pristupu informacijama Svetske banke</w:t>
      </w:r>
      <w:r w:rsidR="00F0110C" w:rsidRPr="00B95F7C">
        <w:rPr>
          <w:lang w:val="it-IT"/>
        </w:rPr>
        <w:t xml:space="preserve">; </w:t>
      </w:r>
      <w:r w:rsidRPr="00B95F7C">
        <w:rPr>
          <w:lang w:val="it-IT"/>
        </w:rPr>
        <w:t>i</w:t>
      </w:r>
    </w:p>
    <w:p w14:paraId="03EDAE51" w14:textId="54BB4DD1" w:rsidR="00F0110C" w:rsidRPr="00B95F7C" w:rsidRDefault="00BD424B" w:rsidP="00F0110C">
      <w:pPr>
        <w:numPr>
          <w:ilvl w:val="0"/>
          <w:numId w:val="24"/>
        </w:numPr>
        <w:spacing w:after="160" w:line="259" w:lineRule="auto"/>
        <w:jc w:val="both"/>
        <w:rPr>
          <w:lang w:val="it-IT"/>
        </w:rPr>
      </w:pPr>
      <w:r w:rsidRPr="00B95F7C">
        <w:rPr>
          <w:lang w:val="it-IT"/>
        </w:rPr>
        <w:t>Važećim nacionalnim zakonima i propisima o javnim konsultacijama, uključivanju građana i zaštiti podataka</w:t>
      </w:r>
      <w:r w:rsidR="00F0110C" w:rsidRPr="00B95F7C">
        <w:rPr>
          <w:lang w:val="it-IT"/>
        </w:rPr>
        <w:t>.</w:t>
      </w:r>
    </w:p>
    <w:p w14:paraId="50450B67" w14:textId="2A563BF1" w:rsidR="00F0110C" w:rsidRPr="00B95F7C" w:rsidRDefault="00BD424B" w:rsidP="00F0110C">
      <w:pPr>
        <w:jc w:val="both"/>
        <w:rPr>
          <w:lang w:val="it-IT"/>
        </w:rPr>
      </w:pPr>
      <w:r w:rsidRPr="00B95F7C">
        <w:rPr>
          <w:lang w:val="it-IT"/>
        </w:rPr>
        <w:t>U slučajevima kada se nacionalni zahtevi razlikuju od ESS10 standarda Svetske banke, primenjuje se viši standard</w:t>
      </w:r>
      <w:r w:rsidR="00F0110C" w:rsidRPr="00B95F7C">
        <w:rPr>
          <w:lang w:val="it-IT"/>
        </w:rPr>
        <w:t>.</w:t>
      </w:r>
    </w:p>
    <w:p w14:paraId="03D34E2E" w14:textId="77777777" w:rsidR="00F0110C" w:rsidRPr="00DD2DCA" w:rsidRDefault="00D26DE4" w:rsidP="00F0110C">
      <w:pPr>
        <w:jc w:val="both"/>
      </w:pPr>
      <w:r>
        <w:pict w14:anchorId="7FBAF499">
          <v:rect id="_x0000_i1025" style="width:0;height:0" o:hralign="center" o:hrstd="t" o:hr="t" fillcolor="#a0a0a0" stroked="f"/>
        </w:pict>
      </w:r>
    </w:p>
    <w:p w14:paraId="0A959CDD" w14:textId="77777777" w:rsidR="00F0110C" w:rsidRDefault="00F0110C" w:rsidP="00F0110C">
      <w:pPr>
        <w:pStyle w:val="ListBullet"/>
        <w:numPr>
          <w:ilvl w:val="0"/>
          <w:numId w:val="0"/>
        </w:numPr>
        <w:spacing w:after="120" w:line="252" w:lineRule="auto"/>
        <w:ind w:left="360" w:right="576" w:hanging="360"/>
        <w:jc w:val="both"/>
        <w:rPr>
          <w:rFonts w:asciiTheme="majorHAnsi" w:hAnsiTheme="majorHAnsi" w:cstheme="majorHAnsi"/>
          <w:sz w:val="22"/>
        </w:rPr>
      </w:pPr>
    </w:p>
    <w:p w14:paraId="725292A9" w14:textId="77777777" w:rsidR="00F0110C" w:rsidRPr="00386B69" w:rsidRDefault="00F0110C" w:rsidP="00F0110C">
      <w:pPr>
        <w:pStyle w:val="ListBullet"/>
        <w:numPr>
          <w:ilvl w:val="0"/>
          <w:numId w:val="0"/>
        </w:numPr>
        <w:spacing w:after="120" w:line="252" w:lineRule="auto"/>
        <w:ind w:left="360" w:right="576" w:hanging="360"/>
        <w:jc w:val="both"/>
        <w:rPr>
          <w:rFonts w:asciiTheme="majorHAnsi" w:hAnsiTheme="majorHAnsi" w:cstheme="majorHAnsi"/>
          <w:sz w:val="22"/>
        </w:rPr>
      </w:pPr>
    </w:p>
    <w:p w14:paraId="53960691" w14:textId="2FBB53C8" w:rsidR="007E15DB" w:rsidRPr="00386B69" w:rsidRDefault="00BD424B" w:rsidP="00AC0E2C">
      <w:pPr>
        <w:pStyle w:val="Heading2"/>
        <w:numPr>
          <w:ilvl w:val="1"/>
          <w:numId w:val="11"/>
        </w:numPr>
        <w:spacing w:before="60" w:after="120"/>
        <w:ind w:left="720" w:right="576"/>
        <w:jc w:val="both"/>
        <w:rPr>
          <w:rFonts w:cstheme="majorHAnsi"/>
          <w:color w:val="auto"/>
          <w:sz w:val="22"/>
          <w:szCs w:val="22"/>
        </w:rPr>
      </w:pPr>
      <w:r w:rsidRPr="00BD424B">
        <w:rPr>
          <w:rFonts w:eastAsia="Arial" w:cstheme="majorHAnsi"/>
          <w:color w:val="auto"/>
          <w:sz w:val="22"/>
          <w:szCs w:val="22"/>
        </w:rPr>
        <w:t>Kontekst ekoloških i društvenih rizika</w:t>
      </w:r>
    </w:p>
    <w:p w14:paraId="18489952" w14:textId="7189B616" w:rsidR="00BD424B" w:rsidRPr="00BD424B" w:rsidRDefault="00BD424B" w:rsidP="00BD424B">
      <w:pPr>
        <w:spacing w:after="120" w:line="252" w:lineRule="auto"/>
        <w:ind w:left="720" w:right="576"/>
        <w:jc w:val="both"/>
        <w:rPr>
          <w:rFonts w:asciiTheme="majorHAnsi" w:hAnsiTheme="majorHAnsi" w:cstheme="majorHAnsi"/>
          <w:sz w:val="22"/>
          <w:lang w:val="en-GB"/>
        </w:rPr>
      </w:pPr>
      <w:r w:rsidRPr="00BD424B">
        <w:rPr>
          <w:rFonts w:asciiTheme="majorHAnsi" w:hAnsiTheme="majorHAnsi" w:cstheme="majorHAnsi"/>
          <w:sz w:val="22"/>
          <w:lang w:val="en-GB"/>
        </w:rPr>
        <w:t>Projekat SERVIS je klasifikovan kao projekat sa nisk</w:t>
      </w:r>
      <w:r>
        <w:rPr>
          <w:rFonts w:asciiTheme="majorHAnsi" w:hAnsiTheme="majorHAnsi" w:cstheme="majorHAnsi"/>
          <w:sz w:val="22"/>
          <w:lang w:val="en-GB"/>
        </w:rPr>
        <w:t xml:space="preserve">im ekološkim i društvenim </w:t>
      </w:r>
      <w:r w:rsidRPr="00BD424B">
        <w:rPr>
          <w:rFonts w:asciiTheme="majorHAnsi" w:hAnsiTheme="majorHAnsi" w:cstheme="majorHAnsi"/>
          <w:sz w:val="22"/>
          <w:lang w:val="en-GB"/>
        </w:rPr>
        <w:t>rizikom. Projekat je digitalne i institucionalne prirode i ne predviđa finansiranje građevinskih radova, izgradnje, otkupa zemljišta niti ulaganja u fizičku infrastrukturu. Aktivnosti projekta biće usmerene na jačanje sajber bezbednosti, proširenje vladinih usluga zasnovanih na klaudu, razvoj rešenja za digitalni identitet, podršku osnovama za veštačku inteligenciju i podatke, unapređenje digitalnih javnih usluga, kao i jačanje institucionalnih i ljudskih kapaciteta.</w:t>
      </w:r>
    </w:p>
    <w:p w14:paraId="7798DFD6" w14:textId="033FFBE1" w:rsidR="007E15DB" w:rsidRPr="00B95F7C" w:rsidRDefault="00BD424B" w:rsidP="00574F03">
      <w:pPr>
        <w:spacing w:after="120" w:line="252" w:lineRule="auto"/>
        <w:ind w:left="720" w:right="576"/>
        <w:jc w:val="both"/>
        <w:rPr>
          <w:rFonts w:asciiTheme="majorHAnsi" w:hAnsiTheme="majorHAnsi" w:cstheme="majorHAnsi"/>
          <w:sz w:val="22"/>
          <w:lang w:val="it-IT"/>
        </w:rPr>
      </w:pPr>
      <w:r w:rsidRPr="00BD424B">
        <w:rPr>
          <w:rFonts w:asciiTheme="majorHAnsi" w:hAnsiTheme="majorHAnsi" w:cstheme="majorHAnsi"/>
          <w:sz w:val="22"/>
          <w:lang w:val="en-GB"/>
        </w:rPr>
        <w:lastRenderedPageBreak/>
        <w:t xml:space="preserve">Očekuje se da će projekat imati pozitivne društvene efekte kroz unapređenje pristupa digitalnim javnim uslugama i povećanje efikasnosti, transparentnosti i praktičnosti za građane, rezidente, privredu i javne institucije. </w:t>
      </w:r>
      <w:r w:rsidRPr="00B95F7C">
        <w:rPr>
          <w:rFonts w:asciiTheme="majorHAnsi" w:hAnsiTheme="majorHAnsi" w:cstheme="majorHAnsi"/>
          <w:sz w:val="22"/>
          <w:lang w:val="it-IT"/>
        </w:rPr>
        <w:t>Glavni rizici i pitanja u vezi sa angažovanjem zainteresovanih strana</w:t>
      </w:r>
      <w:r w:rsidR="00EA0B35">
        <w:rPr>
          <w:rFonts w:asciiTheme="majorHAnsi" w:hAnsiTheme="majorHAnsi" w:cstheme="majorHAnsi"/>
          <w:sz w:val="22"/>
          <w:lang w:val="it-IT"/>
        </w:rPr>
        <w:t>,</w:t>
      </w:r>
      <w:r w:rsidRPr="00B95F7C">
        <w:rPr>
          <w:rFonts w:asciiTheme="majorHAnsi" w:hAnsiTheme="majorHAnsi" w:cstheme="majorHAnsi"/>
          <w:sz w:val="22"/>
          <w:lang w:val="it-IT"/>
        </w:rPr>
        <w:t xml:space="preserve"> </w:t>
      </w:r>
      <w:r w:rsidR="00EA0B35">
        <w:rPr>
          <w:rFonts w:asciiTheme="majorHAnsi" w:hAnsiTheme="majorHAnsi" w:cstheme="majorHAnsi"/>
          <w:sz w:val="22"/>
          <w:lang w:val="it-IT"/>
        </w:rPr>
        <w:t>koji se očekuju, odnose se na</w:t>
      </w:r>
      <w:r w:rsidR="00574F03" w:rsidRPr="00B95F7C">
        <w:rPr>
          <w:rFonts w:asciiTheme="majorHAnsi" w:hAnsiTheme="majorHAnsi" w:cstheme="majorHAnsi"/>
          <w:sz w:val="22"/>
          <w:lang w:val="it-IT"/>
        </w:rPr>
        <w:t>:</w:t>
      </w:r>
    </w:p>
    <w:p w14:paraId="3ED003C9" w14:textId="470C4EA2" w:rsidR="007E15DB" w:rsidRPr="00386B69" w:rsidRDefault="00487CCE" w:rsidP="00AC0E2C">
      <w:pPr>
        <w:pStyle w:val="ListBullet"/>
        <w:spacing w:after="120" w:line="252" w:lineRule="auto"/>
        <w:ind w:left="720" w:right="576"/>
        <w:jc w:val="both"/>
        <w:rPr>
          <w:rFonts w:asciiTheme="majorHAnsi" w:hAnsiTheme="majorHAnsi" w:cstheme="majorHAnsi"/>
          <w:sz w:val="22"/>
        </w:rPr>
      </w:pPr>
      <w:r w:rsidRPr="00487CCE">
        <w:rPr>
          <w:rFonts w:asciiTheme="majorHAnsi" w:hAnsiTheme="majorHAnsi" w:cstheme="majorHAnsi"/>
          <w:sz w:val="22"/>
        </w:rPr>
        <w:t>digitalnu inkluziju i pristupačnost</w:t>
      </w:r>
      <w:r w:rsidR="00811B0E" w:rsidRPr="00386B69">
        <w:rPr>
          <w:rFonts w:asciiTheme="majorHAnsi" w:hAnsiTheme="majorHAnsi" w:cstheme="majorHAnsi"/>
          <w:sz w:val="22"/>
        </w:rPr>
        <w:t>;</w:t>
      </w:r>
    </w:p>
    <w:p w14:paraId="4D2E175A" w14:textId="3AAD0B33" w:rsidR="007E15DB" w:rsidRPr="00386B69" w:rsidRDefault="00487CCE" w:rsidP="00AC0E2C">
      <w:pPr>
        <w:pStyle w:val="ListBullet"/>
        <w:spacing w:after="120" w:line="252" w:lineRule="auto"/>
        <w:ind w:left="720" w:right="576"/>
        <w:jc w:val="both"/>
        <w:rPr>
          <w:rFonts w:asciiTheme="majorHAnsi" w:hAnsiTheme="majorHAnsi" w:cstheme="majorHAnsi"/>
          <w:sz w:val="22"/>
        </w:rPr>
      </w:pPr>
      <w:r w:rsidRPr="00487CCE">
        <w:rPr>
          <w:rFonts w:asciiTheme="majorHAnsi" w:hAnsiTheme="majorHAnsi" w:cstheme="majorHAnsi"/>
          <w:sz w:val="22"/>
        </w:rPr>
        <w:t>poverenje javnosti i usvajanje Digitalnog novčanika i usluga zasnovanih na veštačkoj inteligenciji</w:t>
      </w:r>
      <w:r w:rsidR="00811B0E" w:rsidRPr="00386B69">
        <w:rPr>
          <w:rFonts w:asciiTheme="majorHAnsi" w:hAnsiTheme="majorHAnsi" w:cstheme="majorHAnsi"/>
          <w:sz w:val="22"/>
        </w:rPr>
        <w:t>;</w:t>
      </w:r>
    </w:p>
    <w:p w14:paraId="7C42AFA8" w14:textId="1394EDA4" w:rsidR="007E15DB" w:rsidRPr="00386B69" w:rsidRDefault="00487CCE"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z</w:t>
      </w:r>
      <w:r w:rsidRPr="00487CCE">
        <w:rPr>
          <w:rFonts w:asciiTheme="majorHAnsi" w:hAnsiTheme="majorHAnsi" w:cstheme="majorHAnsi"/>
          <w:sz w:val="22"/>
        </w:rPr>
        <w:t>aštitu podataka, privatnost, sajber bezbednost i informisanu upotrebu digitalnih usluga</w:t>
      </w:r>
      <w:r w:rsidR="00811B0E" w:rsidRPr="00386B69">
        <w:rPr>
          <w:rFonts w:asciiTheme="majorHAnsi" w:hAnsiTheme="majorHAnsi" w:cstheme="majorHAnsi"/>
          <w:sz w:val="22"/>
        </w:rPr>
        <w:t>;</w:t>
      </w:r>
    </w:p>
    <w:p w14:paraId="2559C9AD" w14:textId="3C1781D7" w:rsidR="007E15DB" w:rsidRPr="00386B69" w:rsidRDefault="00487CCE"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t</w:t>
      </w:r>
      <w:r w:rsidRPr="00487CCE">
        <w:rPr>
          <w:rFonts w:asciiTheme="majorHAnsi" w:hAnsiTheme="majorHAnsi" w:cstheme="majorHAnsi"/>
          <w:sz w:val="22"/>
        </w:rPr>
        <w:t>ransparentnost i mogućnost pravnog leka u vezi sa pružanjem usluga zasnovanih na veštačkoj inteligenciji</w:t>
      </w:r>
      <w:r w:rsidR="00811B0E" w:rsidRPr="00386B69">
        <w:rPr>
          <w:rFonts w:asciiTheme="majorHAnsi" w:hAnsiTheme="majorHAnsi" w:cstheme="majorHAnsi"/>
          <w:sz w:val="22"/>
        </w:rPr>
        <w:t>;</w:t>
      </w:r>
    </w:p>
    <w:p w14:paraId="009ABF41" w14:textId="6A3A9CAF" w:rsidR="007E15DB" w:rsidRPr="00B95F7C" w:rsidRDefault="00487CCE"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dostupnost alternativnih ili asistiranih kanala pristupa za osobe koje nisu u mogućnosti ili ne žele da u potpunosti koriste digitalne usluge</w:t>
      </w:r>
    </w:p>
    <w:p w14:paraId="4BA7C614" w14:textId="4CB6249E" w:rsidR="007E15DB" w:rsidRPr="00B95F7C" w:rsidRDefault="00EA0B35"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pitanja državnih službenika</w:t>
      </w:r>
      <w:r w:rsidR="003F17AE" w:rsidRPr="00B95F7C">
        <w:rPr>
          <w:rFonts w:asciiTheme="majorHAnsi" w:hAnsiTheme="majorHAnsi" w:cstheme="majorHAnsi"/>
          <w:sz w:val="22"/>
          <w:lang w:val="it-IT"/>
        </w:rPr>
        <w:t xml:space="preserve"> u vezi sa automatizacijom procesa i promenama administrativnih tokova rada</w:t>
      </w:r>
      <w:r w:rsidR="00811B0E" w:rsidRPr="00B95F7C">
        <w:rPr>
          <w:rFonts w:asciiTheme="majorHAnsi" w:hAnsiTheme="majorHAnsi" w:cstheme="majorHAnsi"/>
          <w:sz w:val="22"/>
          <w:lang w:val="it-IT"/>
        </w:rPr>
        <w:t xml:space="preserve">; </w:t>
      </w:r>
      <w:r w:rsidR="003F17AE" w:rsidRPr="00B95F7C">
        <w:rPr>
          <w:rFonts w:asciiTheme="majorHAnsi" w:hAnsiTheme="majorHAnsi" w:cstheme="majorHAnsi"/>
          <w:sz w:val="22"/>
          <w:lang w:val="it-IT"/>
        </w:rPr>
        <w:t>i</w:t>
      </w:r>
    </w:p>
    <w:p w14:paraId="7E66C035" w14:textId="307D0928" w:rsidR="007E15DB" w:rsidRPr="00B95F7C" w:rsidRDefault="003F17AE"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efikasno prikupljanje povratnih informacija i rešavanje žalbi</w:t>
      </w:r>
      <w:r w:rsidR="00811B0E" w:rsidRPr="00B95F7C">
        <w:rPr>
          <w:rFonts w:asciiTheme="majorHAnsi" w:hAnsiTheme="majorHAnsi" w:cstheme="majorHAnsi"/>
          <w:sz w:val="22"/>
          <w:lang w:val="it-IT"/>
        </w:rPr>
        <w:t>.</w:t>
      </w:r>
    </w:p>
    <w:p w14:paraId="46E8BFD8" w14:textId="335E46FA" w:rsidR="007E15DB" w:rsidRPr="00B95F7C" w:rsidRDefault="00AE1BF3" w:rsidP="00AC0E2C">
      <w:pPr>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Očekuje se da ovi rizici budu ograničeni, upravljivi i reverzibilni. Njima će se upravljati kroz inkluzivni dizajn, ciljanu komunikaciju, mehanizme povratnih informacija korisnika, angažovanje zainteresovanih strana, aranžmane za Mehanizam za žalbe i rešavanje žalbi (GRM), mere zaštite podataka i sajber bezbednosti, kao i praćenje</w:t>
      </w:r>
      <w:r w:rsidR="00811B0E" w:rsidRPr="00B95F7C">
        <w:rPr>
          <w:rFonts w:asciiTheme="majorHAnsi" w:hAnsiTheme="majorHAnsi" w:cstheme="majorHAnsi"/>
          <w:sz w:val="22"/>
          <w:lang w:val="it-IT"/>
        </w:rPr>
        <w:t>.</w:t>
      </w:r>
    </w:p>
    <w:p w14:paraId="6A148E6B" w14:textId="4FA79FEF" w:rsidR="007E15DB" w:rsidRPr="00386B69" w:rsidRDefault="00AE1BF3" w:rsidP="00AC0E2C">
      <w:pPr>
        <w:pStyle w:val="Heading2"/>
        <w:numPr>
          <w:ilvl w:val="1"/>
          <w:numId w:val="11"/>
        </w:numPr>
        <w:spacing w:before="60" w:after="120"/>
        <w:ind w:left="720" w:right="576"/>
        <w:jc w:val="both"/>
        <w:rPr>
          <w:rFonts w:cstheme="majorHAnsi"/>
          <w:color w:val="auto"/>
          <w:sz w:val="22"/>
          <w:szCs w:val="22"/>
        </w:rPr>
      </w:pPr>
      <w:r>
        <w:rPr>
          <w:rFonts w:eastAsia="Arial" w:cstheme="majorHAnsi"/>
          <w:color w:val="auto"/>
          <w:sz w:val="22"/>
          <w:szCs w:val="22"/>
        </w:rPr>
        <w:t>Obuhvat i proporcionalnost SEP-a</w:t>
      </w:r>
    </w:p>
    <w:p w14:paraId="4E2FEE9F" w14:textId="427357F5" w:rsidR="00AE1BF3" w:rsidRPr="00AE1BF3" w:rsidRDefault="00AE1BF3" w:rsidP="00AE1BF3">
      <w:pPr>
        <w:spacing w:after="120" w:line="252" w:lineRule="auto"/>
        <w:ind w:left="720" w:right="576"/>
        <w:jc w:val="both"/>
        <w:rPr>
          <w:rFonts w:asciiTheme="majorHAnsi" w:hAnsiTheme="majorHAnsi" w:cstheme="majorHAnsi"/>
          <w:sz w:val="22"/>
          <w:lang w:val="en-GB"/>
        </w:rPr>
      </w:pPr>
      <w:r w:rsidRPr="00AE1BF3">
        <w:rPr>
          <w:rFonts w:asciiTheme="majorHAnsi" w:hAnsiTheme="majorHAnsi" w:cstheme="majorHAnsi"/>
          <w:sz w:val="22"/>
          <w:lang w:val="en-GB"/>
        </w:rPr>
        <w:t xml:space="preserve">Ovaj SEP je proporcionalan niskoj oceni ekoloških i društvenih rizika (E&amp;S) projekta SERVIS i njegovom fokusu na digitalnu upravu. </w:t>
      </w:r>
      <w:r w:rsidR="00236A7F">
        <w:rPr>
          <w:rFonts w:asciiTheme="majorHAnsi" w:hAnsiTheme="majorHAnsi" w:cstheme="majorHAnsi"/>
          <w:sz w:val="22"/>
          <w:lang w:val="en-GB"/>
        </w:rPr>
        <w:t>Njegov cilj nije</w:t>
      </w:r>
      <w:r w:rsidRPr="00AE1BF3">
        <w:rPr>
          <w:rFonts w:asciiTheme="majorHAnsi" w:hAnsiTheme="majorHAnsi" w:cstheme="majorHAnsi"/>
          <w:sz w:val="22"/>
          <w:lang w:val="en-GB"/>
        </w:rPr>
        <w:t xml:space="preserve"> da ponovi </w:t>
      </w:r>
      <w:r w:rsidR="00236A7F">
        <w:rPr>
          <w:rFonts w:asciiTheme="majorHAnsi" w:hAnsiTheme="majorHAnsi" w:cstheme="majorHAnsi"/>
          <w:sz w:val="22"/>
          <w:lang w:val="en-GB"/>
        </w:rPr>
        <w:t>detalje na nivou</w:t>
      </w:r>
      <w:r w:rsidRPr="00AE1BF3">
        <w:rPr>
          <w:rFonts w:asciiTheme="majorHAnsi" w:hAnsiTheme="majorHAnsi" w:cstheme="majorHAnsi"/>
          <w:sz w:val="22"/>
          <w:lang w:val="en-GB"/>
        </w:rPr>
        <w:t xml:space="preserve"> koji je potreban za projekte sa visokim ili značajnim rizikom koji uključuju građevinske radove, otkup zemljišta, složene uticaje na zajednicu ili značajne ekološke rizike. Umesto toga, fokusira se na mere komunikacije, inkluzije, povratnih informacija i upravljanja žalbama koje su najrelevantnije za operaciju digitalnih javnih usluga.</w:t>
      </w:r>
    </w:p>
    <w:p w14:paraId="2A4DABB5" w14:textId="640A8A6F" w:rsidR="007E15DB" w:rsidRPr="00B50088" w:rsidRDefault="00AE1BF3" w:rsidP="00B50088">
      <w:pPr>
        <w:spacing w:after="120" w:line="252" w:lineRule="auto"/>
        <w:ind w:left="720" w:right="576"/>
        <w:jc w:val="both"/>
        <w:rPr>
          <w:rFonts w:asciiTheme="majorHAnsi" w:hAnsiTheme="majorHAnsi" w:cstheme="majorHAnsi"/>
          <w:sz w:val="22"/>
          <w:lang w:val="en-GB"/>
        </w:rPr>
      </w:pPr>
      <w:r w:rsidRPr="00AE1BF3">
        <w:rPr>
          <w:rFonts w:asciiTheme="majorHAnsi" w:hAnsiTheme="majorHAnsi" w:cstheme="majorHAnsi"/>
          <w:sz w:val="22"/>
          <w:lang w:val="en-GB"/>
        </w:rPr>
        <w:t>SEP će se ažurirati po potrebi tokom implementacije, posebno ukoliko dođe do promena projektnih aktivnosti, identifikovanja novih grupa zainteresovanih strana ili ako povratne informacije ukažu na potrebu za dodatnim merama angažovanja</w:t>
      </w:r>
      <w:r w:rsidR="00B50088">
        <w:rPr>
          <w:rFonts w:asciiTheme="majorHAnsi" w:hAnsiTheme="majorHAnsi" w:cstheme="majorHAnsi"/>
          <w:sz w:val="22"/>
          <w:lang w:val="en-GB"/>
        </w:rPr>
        <w:t>.</w:t>
      </w:r>
    </w:p>
    <w:p w14:paraId="00C11945" w14:textId="2F3C14C8" w:rsidR="007E15DB" w:rsidRPr="00386B69" w:rsidRDefault="007E15DB" w:rsidP="00AC0E2C">
      <w:pPr>
        <w:ind w:left="720" w:right="576"/>
        <w:jc w:val="both"/>
        <w:rPr>
          <w:rFonts w:asciiTheme="majorHAnsi" w:hAnsiTheme="majorHAnsi" w:cstheme="majorHAnsi"/>
          <w:sz w:val="22"/>
        </w:rPr>
      </w:pPr>
    </w:p>
    <w:p w14:paraId="0AF32FBB" w14:textId="535363D5" w:rsidR="007E15DB" w:rsidRPr="00611C08" w:rsidRDefault="00B95F7C" w:rsidP="00611C08">
      <w:pPr>
        <w:pStyle w:val="ListParagraph"/>
        <w:numPr>
          <w:ilvl w:val="2"/>
          <w:numId w:val="20"/>
        </w:numPr>
        <w:ind w:right="576"/>
        <w:rPr>
          <w:rFonts w:asciiTheme="majorHAnsi" w:hAnsiTheme="majorHAnsi" w:cstheme="majorHAnsi"/>
          <w:b/>
          <w:bCs/>
          <w:sz w:val="22"/>
        </w:rPr>
      </w:pPr>
      <w:r>
        <w:rPr>
          <w:rFonts w:asciiTheme="majorHAnsi" w:hAnsiTheme="majorHAnsi" w:cstheme="majorHAnsi"/>
          <w:b/>
          <w:bCs/>
          <w:sz w:val="22"/>
        </w:rPr>
        <w:t>Regulativa i zahtevi Svetske banke</w:t>
      </w:r>
    </w:p>
    <w:p w14:paraId="2E7ACD3C" w14:textId="25C3E9B8" w:rsidR="007E15DB" w:rsidRPr="00B95F7C" w:rsidRDefault="00B95F7C" w:rsidP="00AC0E2C">
      <w:pPr>
        <w:pStyle w:val="Heading2"/>
        <w:numPr>
          <w:ilvl w:val="1"/>
          <w:numId w:val="12"/>
        </w:numPr>
        <w:spacing w:before="60" w:after="120"/>
        <w:ind w:left="720" w:right="576"/>
        <w:jc w:val="both"/>
        <w:rPr>
          <w:rFonts w:cstheme="majorHAnsi"/>
          <w:color w:val="auto"/>
          <w:sz w:val="22"/>
          <w:szCs w:val="22"/>
          <w:lang w:val="it-IT"/>
        </w:rPr>
      </w:pPr>
      <w:r>
        <w:rPr>
          <w:rFonts w:eastAsia="Arial" w:cstheme="majorHAnsi"/>
          <w:color w:val="auto"/>
          <w:sz w:val="22"/>
          <w:szCs w:val="22"/>
          <w:lang w:val="it-IT"/>
        </w:rPr>
        <w:t>N</w:t>
      </w:r>
      <w:r w:rsidRPr="00B95F7C">
        <w:rPr>
          <w:rFonts w:eastAsia="Arial" w:cstheme="majorHAnsi"/>
          <w:color w:val="auto"/>
          <w:sz w:val="22"/>
          <w:szCs w:val="22"/>
          <w:lang w:val="it-IT"/>
        </w:rPr>
        <w:t>acionalni pravni i institucionalni okvir za angažovanje zainteresovanih strana u Srbiji</w:t>
      </w:r>
    </w:p>
    <w:p w14:paraId="382053E5" w14:textId="04D1B47A" w:rsidR="007E15DB" w:rsidRPr="00B95F7C" w:rsidRDefault="00B95F7C" w:rsidP="00AC0E2C">
      <w:pPr>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 xml:space="preserve">Obaveze Republike Srbije u vezi sa angažovanjem građana, transparentnošću i pristupom informacijama </w:t>
      </w:r>
      <w:r>
        <w:rPr>
          <w:rFonts w:asciiTheme="majorHAnsi" w:hAnsiTheme="majorHAnsi" w:cstheme="majorHAnsi"/>
          <w:sz w:val="22"/>
          <w:lang w:val="it-IT"/>
        </w:rPr>
        <w:t>regulisane su kroz</w:t>
      </w:r>
      <w:r w:rsidRPr="00B95F7C">
        <w:rPr>
          <w:rFonts w:asciiTheme="majorHAnsi" w:hAnsiTheme="majorHAnsi" w:cstheme="majorHAnsi"/>
          <w:sz w:val="22"/>
          <w:lang w:val="it-IT"/>
        </w:rPr>
        <w:t xml:space="preserve"> više zakona i institucionalnih procedura, a ne u jednom samostalnom zakonu o angažovanju zainteresovanih strana. Pravni okvir priznaje važnost javnog pristupa informacijama, nediskriminacije, javnog učešća i administrativne odgovornosti</w:t>
      </w:r>
      <w:r w:rsidR="00811B0E" w:rsidRPr="00B95F7C">
        <w:rPr>
          <w:rFonts w:asciiTheme="majorHAnsi" w:hAnsiTheme="majorHAnsi" w:cstheme="majorHAnsi"/>
          <w:sz w:val="22"/>
          <w:lang w:val="it-IT"/>
        </w:rPr>
        <w:t>.</w:t>
      </w:r>
    </w:p>
    <w:p w14:paraId="4B3F5943" w14:textId="54CAC59B" w:rsidR="007E15DB" w:rsidRPr="00B95F7C" w:rsidRDefault="00B95F7C" w:rsidP="00AC0E2C">
      <w:pPr>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bCs/>
          <w:sz w:val="22"/>
          <w:lang w:val="it-IT"/>
        </w:rPr>
        <w:t>Ključni elementi nacionalnog zakonodavstva relevantni za SERVIS uključuju</w:t>
      </w:r>
      <w:r w:rsidR="00811B0E" w:rsidRPr="00B95F7C">
        <w:rPr>
          <w:rFonts w:asciiTheme="majorHAnsi" w:hAnsiTheme="majorHAnsi" w:cstheme="majorHAnsi"/>
          <w:sz w:val="22"/>
          <w:lang w:val="it-IT"/>
        </w:rPr>
        <w:t>:</w:t>
      </w:r>
    </w:p>
    <w:p w14:paraId="5850320F" w14:textId="65B13E73" w:rsidR="007E15DB" w:rsidRPr="00B95F7C" w:rsidRDefault="00B95F7C"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ustavne principe koji se odnose na jednakost, nediskriminaciju, pristup informacijama i odgovornost javne uprave</w:t>
      </w:r>
      <w:r w:rsidR="00811B0E" w:rsidRPr="00B95F7C">
        <w:rPr>
          <w:rFonts w:asciiTheme="majorHAnsi" w:hAnsiTheme="majorHAnsi" w:cstheme="majorHAnsi"/>
          <w:sz w:val="22"/>
          <w:lang w:val="it-IT"/>
        </w:rPr>
        <w:t>;</w:t>
      </w:r>
    </w:p>
    <w:p w14:paraId="179D57AC" w14:textId="5A04B089" w:rsidR="007E15DB" w:rsidRPr="00B95F7C" w:rsidRDefault="00B95F7C"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zakonodavstvo koje uređuje pristup informacijama od javnog značaja</w:t>
      </w:r>
      <w:r w:rsidR="00811B0E" w:rsidRPr="00B95F7C">
        <w:rPr>
          <w:rFonts w:asciiTheme="majorHAnsi" w:hAnsiTheme="majorHAnsi" w:cstheme="majorHAnsi"/>
          <w:sz w:val="22"/>
          <w:lang w:val="it-IT"/>
        </w:rPr>
        <w:t>;</w:t>
      </w:r>
    </w:p>
    <w:p w14:paraId="0A391C62" w14:textId="76E47C2A" w:rsidR="007E15DB" w:rsidRPr="00B95F7C" w:rsidRDefault="00B95F7C"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zakone</w:t>
      </w:r>
      <w:r w:rsidRPr="00B95F7C">
        <w:rPr>
          <w:rFonts w:asciiTheme="majorHAnsi" w:hAnsiTheme="majorHAnsi" w:cstheme="majorHAnsi"/>
          <w:sz w:val="22"/>
          <w:lang w:val="it-IT"/>
        </w:rPr>
        <w:t xml:space="preserve"> o</w:t>
      </w:r>
      <w:r>
        <w:rPr>
          <w:rFonts w:asciiTheme="majorHAnsi" w:hAnsiTheme="majorHAnsi" w:cstheme="majorHAnsi"/>
          <w:sz w:val="22"/>
          <w:lang w:val="it-IT"/>
        </w:rPr>
        <w:t xml:space="preserve"> zaštiti ličnih podataka i ulozi</w:t>
      </w:r>
      <w:r w:rsidRPr="00B95F7C">
        <w:rPr>
          <w:rFonts w:asciiTheme="majorHAnsi" w:hAnsiTheme="majorHAnsi" w:cstheme="majorHAnsi"/>
          <w:sz w:val="22"/>
          <w:lang w:val="it-IT"/>
        </w:rPr>
        <w:t xml:space="preserve"> Poverenika za informacije od javnog značaja i zaštitu ličnih podataka</w:t>
      </w:r>
      <w:r w:rsidR="00811B0E" w:rsidRPr="00B95F7C">
        <w:rPr>
          <w:rFonts w:asciiTheme="majorHAnsi" w:hAnsiTheme="majorHAnsi" w:cstheme="majorHAnsi"/>
          <w:sz w:val="22"/>
          <w:lang w:val="it-IT"/>
        </w:rPr>
        <w:t>;</w:t>
      </w:r>
    </w:p>
    <w:p w14:paraId="4C02863C" w14:textId="7A48265D" w:rsidR="007E15DB" w:rsidRPr="00B95F7C" w:rsidRDefault="00B95F7C"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z</w:t>
      </w:r>
      <w:r w:rsidRPr="00B95F7C">
        <w:rPr>
          <w:rFonts w:asciiTheme="majorHAnsi" w:hAnsiTheme="majorHAnsi" w:cstheme="majorHAnsi"/>
          <w:sz w:val="22"/>
          <w:lang w:val="it-IT"/>
        </w:rPr>
        <w:t>akonodavstvo i regulatorna rešenja u vezi sa elektronskom</w:t>
      </w:r>
      <w:r>
        <w:rPr>
          <w:rFonts w:asciiTheme="majorHAnsi" w:hAnsiTheme="majorHAnsi" w:cstheme="majorHAnsi"/>
          <w:sz w:val="22"/>
          <w:lang w:val="it-IT"/>
        </w:rPr>
        <w:t xml:space="preserve"> upravom</w:t>
      </w:r>
      <w:r w:rsidRPr="00B95F7C">
        <w:rPr>
          <w:rFonts w:asciiTheme="majorHAnsi" w:hAnsiTheme="majorHAnsi" w:cstheme="majorHAnsi"/>
          <w:sz w:val="22"/>
          <w:lang w:val="it-IT"/>
        </w:rPr>
        <w:t>, elektronskom identifikacijom, uslugama</w:t>
      </w:r>
      <w:r>
        <w:rPr>
          <w:rFonts w:asciiTheme="majorHAnsi" w:hAnsiTheme="majorHAnsi" w:cstheme="majorHAnsi"/>
          <w:sz w:val="22"/>
          <w:lang w:val="it-IT"/>
        </w:rPr>
        <w:t xml:space="preserve"> poverenja</w:t>
      </w:r>
      <w:r w:rsidRPr="00B95F7C">
        <w:rPr>
          <w:rFonts w:asciiTheme="majorHAnsi" w:hAnsiTheme="majorHAnsi" w:cstheme="majorHAnsi"/>
          <w:sz w:val="22"/>
          <w:lang w:val="it-IT"/>
        </w:rPr>
        <w:t xml:space="preserve">, </w:t>
      </w:r>
      <w:r>
        <w:rPr>
          <w:rFonts w:asciiTheme="majorHAnsi" w:hAnsiTheme="majorHAnsi" w:cstheme="majorHAnsi"/>
          <w:sz w:val="22"/>
          <w:lang w:val="it-IT"/>
        </w:rPr>
        <w:t>sajber</w:t>
      </w:r>
      <w:r w:rsidRPr="00B95F7C">
        <w:rPr>
          <w:rFonts w:asciiTheme="majorHAnsi" w:hAnsiTheme="majorHAnsi" w:cstheme="majorHAnsi"/>
          <w:sz w:val="22"/>
          <w:lang w:val="it-IT"/>
        </w:rPr>
        <w:t xml:space="preserve"> bezbednošću i bezbednošću informacija</w:t>
      </w:r>
      <w:r w:rsidR="00811B0E" w:rsidRPr="00B95F7C">
        <w:rPr>
          <w:rFonts w:asciiTheme="majorHAnsi" w:hAnsiTheme="majorHAnsi" w:cstheme="majorHAnsi"/>
          <w:sz w:val="22"/>
          <w:lang w:val="it-IT"/>
        </w:rPr>
        <w:t>;</w:t>
      </w:r>
    </w:p>
    <w:p w14:paraId="17E49333" w14:textId="1977F1DA" w:rsidR="007E15DB" w:rsidRPr="00B95F7C" w:rsidRDefault="00B95F7C"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zakon</w:t>
      </w:r>
      <w:r w:rsidR="00571EBB">
        <w:rPr>
          <w:rFonts w:asciiTheme="majorHAnsi" w:hAnsiTheme="majorHAnsi" w:cstheme="majorHAnsi"/>
          <w:sz w:val="22"/>
          <w:lang w:val="it-IT"/>
        </w:rPr>
        <w:t>odavstvo koje se odnosi na javno informisanje</w:t>
      </w:r>
      <w:r w:rsidRPr="00B95F7C">
        <w:rPr>
          <w:rFonts w:asciiTheme="majorHAnsi" w:hAnsiTheme="majorHAnsi" w:cstheme="majorHAnsi"/>
          <w:sz w:val="22"/>
          <w:lang w:val="it-IT"/>
        </w:rPr>
        <w:t xml:space="preserve"> i medije</w:t>
      </w:r>
      <w:r w:rsidR="00811B0E" w:rsidRPr="00B95F7C">
        <w:rPr>
          <w:rFonts w:asciiTheme="majorHAnsi" w:hAnsiTheme="majorHAnsi" w:cstheme="majorHAnsi"/>
          <w:sz w:val="22"/>
          <w:lang w:val="it-IT"/>
        </w:rPr>
        <w:t xml:space="preserve">; </w:t>
      </w:r>
      <w:r>
        <w:rPr>
          <w:rFonts w:asciiTheme="majorHAnsi" w:hAnsiTheme="majorHAnsi" w:cstheme="majorHAnsi"/>
          <w:sz w:val="22"/>
          <w:lang w:val="it-IT"/>
        </w:rPr>
        <w:t>i</w:t>
      </w:r>
    </w:p>
    <w:p w14:paraId="36EFD87B" w14:textId="10E3C92D" w:rsidR="007E15DB" w:rsidRPr="00B95F7C" w:rsidRDefault="00B95F7C" w:rsidP="00AC0E2C">
      <w:pPr>
        <w:pStyle w:val="ListBullet"/>
        <w:spacing w:after="120" w:line="252" w:lineRule="auto"/>
        <w:ind w:left="720" w:right="576"/>
        <w:jc w:val="both"/>
        <w:rPr>
          <w:rFonts w:asciiTheme="majorHAnsi" w:hAnsiTheme="majorHAnsi" w:cstheme="majorHAnsi"/>
          <w:sz w:val="22"/>
          <w:lang w:val="it-IT"/>
        </w:rPr>
      </w:pPr>
      <w:r w:rsidRPr="00B95F7C">
        <w:rPr>
          <w:rFonts w:asciiTheme="majorHAnsi" w:hAnsiTheme="majorHAnsi" w:cstheme="majorHAnsi"/>
          <w:sz w:val="22"/>
          <w:lang w:val="it-IT"/>
        </w:rPr>
        <w:t>specifične zahteve sektora za javnu konsultaciju, komunikaciju, transparentnost i pružanje usluga</w:t>
      </w:r>
      <w:r w:rsidR="00811B0E" w:rsidRPr="00B95F7C">
        <w:rPr>
          <w:rFonts w:asciiTheme="majorHAnsi" w:hAnsiTheme="majorHAnsi" w:cstheme="majorHAnsi"/>
          <w:sz w:val="22"/>
          <w:lang w:val="it-IT"/>
        </w:rPr>
        <w:t>.</w:t>
      </w:r>
    </w:p>
    <w:p w14:paraId="06C8085F" w14:textId="12F96564" w:rsidR="00F704F5" w:rsidRPr="00E42C0A" w:rsidRDefault="00E42C0A" w:rsidP="00F704F5">
      <w:pPr>
        <w:spacing w:after="120" w:line="252" w:lineRule="auto"/>
        <w:ind w:left="720" w:right="576"/>
        <w:jc w:val="both"/>
        <w:rPr>
          <w:rFonts w:asciiTheme="majorHAnsi" w:hAnsiTheme="majorHAnsi" w:cstheme="majorHAnsi"/>
          <w:sz w:val="22"/>
          <w:lang w:val="it-IT"/>
        </w:rPr>
      </w:pPr>
      <w:r w:rsidRPr="00E42C0A">
        <w:rPr>
          <w:rFonts w:asciiTheme="majorHAnsi" w:hAnsiTheme="majorHAnsi" w:cstheme="majorHAnsi"/>
          <w:bCs/>
          <w:sz w:val="22"/>
          <w:lang w:val="it-IT"/>
        </w:rPr>
        <w:lastRenderedPageBreak/>
        <w:t xml:space="preserve">S obzirom na digitalnu prirodu SERVIS-a, </w:t>
      </w:r>
      <w:r>
        <w:rPr>
          <w:rFonts w:asciiTheme="majorHAnsi" w:hAnsiTheme="majorHAnsi" w:cstheme="majorHAnsi"/>
          <w:bCs/>
          <w:sz w:val="22"/>
          <w:lang w:val="it-IT"/>
        </w:rPr>
        <w:t>od posebnog značaja su</w:t>
      </w:r>
      <w:r>
        <w:rPr>
          <w:rFonts w:asciiTheme="majorHAnsi" w:hAnsiTheme="majorHAnsi" w:cstheme="majorHAnsi"/>
          <w:bCs/>
          <w:sz w:val="22"/>
          <w:lang w:val="sr-Latn-RS"/>
        </w:rPr>
        <w:t xml:space="preserve"> </w:t>
      </w:r>
      <w:r w:rsidRPr="00E42C0A">
        <w:rPr>
          <w:rFonts w:asciiTheme="majorHAnsi" w:hAnsiTheme="majorHAnsi" w:cstheme="majorHAnsi"/>
          <w:bCs/>
          <w:sz w:val="22"/>
          <w:lang w:val="it-IT"/>
        </w:rPr>
        <w:t xml:space="preserve">nacionalni zahtevi u vezi sa zaštitom podataka, </w:t>
      </w:r>
      <w:r>
        <w:rPr>
          <w:rFonts w:asciiTheme="majorHAnsi" w:hAnsiTheme="majorHAnsi" w:cstheme="majorHAnsi"/>
          <w:bCs/>
          <w:sz w:val="22"/>
          <w:lang w:val="it-IT"/>
        </w:rPr>
        <w:t>sajber</w:t>
      </w:r>
      <w:r w:rsidRPr="00E42C0A">
        <w:rPr>
          <w:rFonts w:asciiTheme="majorHAnsi" w:hAnsiTheme="majorHAnsi" w:cstheme="majorHAnsi"/>
          <w:bCs/>
          <w:sz w:val="22"/>
          <w:lang w:val="it-IT"/>
        </w:rPr>
        <w:t xml:space="preserve"> bezbednošću, elektronskom identifikacijom, elektronskim uslugama, dostupnošću i javnom komun</w:t>
      </w:r>
      <w:r>
        <w:rPr>
          <w:rFonts w:asciiTheme="majorHAnsi" w:hAnsiTheme="majorHAnsi" w:cstheme="majorHAnsi"/>
          <w:bCs/>
          <w:sz w:val="22"/>
          <w:lang w:val="it-IT"/>
        </w:rPr>
        <w:t xml:space="preserve">ikacijom. Relevantna zakonodavna </w:t>
      </w:r>
      <w:r w:rsidRPr="00E42C0A">
        <w:rPr>
          <w:rFonts w:asciiTheme="majorHAnsi" w:hAnsiTheme="majorHAnsi" w:cstheme="majorHAnsi"/>
          <w:bCs/>
          <w:sz w:val="22"/>
          <w:lang w:val="it-IT"/>
        </w:rPr>
        <w:t xml:space="preserve">i </w:t>
      </w:r>
      <w:r>
        <w:rPr>
          <w:rFonts w:asciiTheme="majorHAnsi" w:hAnsiTheme="majorHAnsi" w:cstheme="majorHAnsi"/>
          <w:bCs/>
          <w:sz w:val="22"/>
          <w:lang w:val="it-IT"/>
        </w:rPr>
        <w:t>vladina</w:t>
      </w:r>
      <w:r w:rsidRPr="00E42C0A">
        <w:rPr>
          <w:rFonts w:asciiTheme="majorHAnsi" w:hAnsiTheme="majorHAnsi" w:cstheme="majorHAnsi"/>
          <w:bCs/>
          <w:sz w:val="22"/>
          <w:lang w:val="it-IT"/>
        </w:rPr>
        <w:t xml:space="preserve"> tela </w:t>
      </w:r>
      <w:r>
        <w:rPr>
          <w:rFonts w:asciiTheme="majorHAnsi" w:hAnsiTheme="majorHAnsi" w:cstheme="majorHAnsi"/>
          <w:bCs/>
          <w:sz w:val="22"/>
          <w:lang w:val="it-IT"/>
        </w:rPr>
        <w:t>su</w:t>
      </w:r>
      <w:r w:rsidR="00F704F5" w:rsidRPr="00E42C0A">
        <w:rPr>
          <w:rFonts w:asciiTheme="majorHAnsi" w:hAnsiTheme="majorHAnsi" w:cstheme="majorHAnsi"/>
          <w:sz w:val="22"/>
          <w:lang w:val="it-IT"/>
        </w:rPr>
        <w:t xml:space="preserve">: </w:t>
      </w:r>
    </w:p>
    <w:p w14:paraId="48E46249" w14:textId="63DD5940" w:rsidR="00F704F5" w:rsidRPr="00E42C0A" w:rsidRDefault="00F704F5" w:rsidP="00495BBE">
      <w:pPr>
        <w:pStyle w:val="ListParagraph"/>
        <w:numPr>
          <w:ilvl w:val="0"/>
          <w:numId w:val="27"/>
        </w:numPr>
        <w:spacing w:after="120" w:line="252" w:lineRule="auto"/>
        <w:ind w:right="576"/>
        <w:jc w:val="both"/>
        <w:rPr>
          <w:rFonts w:asciiTheme="majorHAnsi" w:hAnsiTheme="majorHAnsi" w:cstheme="majorHAnsi"/>
          <w:sz w:val="22"/>
          <w:lang w:val="it-IT"/>
        </w:rPr>
      </w:pPr>
      <w:r w:rsidRPr="00E42C0A">
        <w:rPr>
          <w:rFonts w:asciiTheme="majorHAnsi" w:hAnsiTheme="majorHAnsi" w:cstheme="majorHAnsi"/>
          <w:sz w:val="22"/>
          <w:lang w:val="it-IT"/>
        </w:rPr>
        <w:t>Sa</w:t>
      </w:r>
      <w:r w:rsidR="00E42C0A">
        <w:rPr>
          <w:rFonts w:asciiTheme="majorHAnsi" w:hAnsiTheme="majorHAnsi" w:cstheme="majorHAnsi"/>
          <w:sz w:val="22"/>
          <w:lang w:val="it-IT"/>
        </w:rPr>
        <w:t>vet za veštačku inteligenciju,</w:t>
      </w:r>
      <w:r w:rsidR="00E42C0A" w:rsidRPr="00E42C0A">
        <w:rPr>
          <w:rFonts w:asciiTheme="majorHAnsi" w:hAnsiTheme="majorHAnsi" w:cstheme="majorHAnsi"/>
          <w:b/>
          <w:bCs/>
          <w:sz w:val="22"/>
          <w:lang w:val="it-IT"/>
        </w:rPr>
        <w:t xml:space="preserve"> </w:t>
      </w:r>
      <w:r w:rsidR="00E42C0A" w:rsidRPr="00E42C0A">
        <w:rPr>
          <w:rFonts w:asciiTheme="majorHAnsi" w:hAnsiTheme="majorHAnsi" w:cstheme="majorHAnsi"/>
          <w:bCs/>
          <w:sz w:val="22"/>
          <w:lang w:val="it-IT"/>
        </w:rPr>
        <w:t xml:space="preserve">osnovan u okviru </w:t>
      </w:r>
      <w:r w:rsidR="00E42C0A">
        <w:rPr>
          <w:rFonts w:asciiTheme="majorHAnsi" w:hAnsiTheme="majorHAnsi" w:cstheme="majorHAnsi"/>
          <w:bCs/>
          <w:sz w:val="22"/>
          <w:lang w:val="it-IT"/>
        </w:rPr>
        <w:t>Kabineta premijera,</w:t>
      </w:r>
      <w:r w:rsidR="00E42C0A" w:rsidRPr="00E42C0A">
        <w:rPr>
          <w:rFonts w:asciiTheme="majorHAnsi" w:hAnsiTheme="majorHAnsi" w:cstheme="majorHAnsi"/>
          <w:bCs/>
          <w:sz w:val="22"/>
          <w:lang w:val="it-IT"/>
        </w:rPr>
        <w:t xml:space="preserve"> </w:t>
      </w:r>
      <w:r w:rsidR="00E42C0A">
        <w:rPr>
          <w:rFonts w:asciiTheme="majorHAnsi" w:hAnsiTheme="majorHAnsi" w:cstheme="majorHAnsi"/>
          <w:bCs/>
          <w:sz w:val="22"/>
          <w:lang w:val="it-IT"/>
        </w:rPr>
        <w:t>je</w:t>
      </w:r>
      <w:r w:rsidR="00E42C0A" w:rsidRPr="00E42C0A">
        <w:rPr>
          <w:rFonts w:asciiTheme="majorHAnsi" w:hAnsiTheme="majorHAnsi" w:cstheme="majorHAnsi"/>
          <w:bCs/>
          <w:sz w:val="22"/>
          <w:lang w:val="it-IT"/>
        </w:rPr>
        <w:t xml:space="preserve"> strateško koordinaciono i savetodavno telo za veštačku inteligenciju u Srbiji, </w:t>
      </w:r>
      <w:r w:rsidR="00E42C0A">
        <w:rPr>
          <w:rFonts w:asciiTheme="majorHAnsi" w:hAnsiTheme="majorHAnsi" w:cstheme="majorHAnsi"/>
          <w:bCs/>
          <w:sz w:val="22"/>
          <w:lang w:val="it-IT"/>
        </w:rPr>
        <w:t>i čine ga vlada, akademska zajednica</w:t>
      </w:r>
      <w:r w:rsidR="00E42C0A" w:rsidRPr="00E42C0A">
        <w:rPr>
          <w:rFonts w:asciiTheme="majorHAnsi" w:hAnsiTheme="majorHAnsi" w:cstheme="majorHAnsi"/>
          <w:bCs/>
          <w:sz w:val="22"/>
          <w:lang w:val="it-IT"/>
        </w:rPr>
        <w:t>, istraživačke institucije, privatni sektor i druge relevantne zainteresovane strane</w:t>
      </w:r>
      <w:r w:rsidR="00E42C0A">
        <w:rPr>
          <w:rFonts w:asciiTheme="majorHAnsi" w:hAnsiTheme="majorHAnsi" w:cstheme="majorHAnsi"/>
          <w:bCs/>
          <w:sz w:val="22"/>
          <w:lang w:val="it-IT"/>
        </w:rPr>
        <w:t>.</w:t>
      </w:r>
      <w:r w:rsidR="00E42C0A" w:rsidRPr="00E42C0A">
        <w:rPr>
          <w:rFonts w:asciiTheme="majorHAnsi" w:hAnsiTheme="majorHAnsi" w:cstheme="majorHAnsi"/>
          <w:bCs/>
          <w:sz w:val="22"/>
          <w:lang w:val="it-IT"/>
        </w:rPr>
        <w:t xml:space="preserve"> </w:t>
      </w:r>
      <w:r w:rsidR="00E42C0A">
        <w:rPr>
          <w:rFonts w:asciiTheme="majorHAnsi" w:hAnsiTheme="majorHAnsi" w:cstheme="majorHAnsi"/>
          <w:bCs/>
          <w:sz w:val="22"/>
          <w:lang w:val="it-IT"/>
        </w:rPr>
        <w:t>Savet pruža podršku u oblasti usklađivanja strategije, upravljanja</w:t>
      </w:r>
      <w:r w:rsidR="00E42C0A" w:rsidRPr="00E42C0A">
        <w:rPr>
          <w:rFonts w:asciiTheme="majorHAnsi" w:hAnsiTheme="majorHAnsi" w:cstheme="majorHAnsi"/>
          <w:bCs/>
          <w:sz w:val="22"/>
          <w:lang w:val="it-IT"/>
        </w:rPr>
        <w:t>, ra</w:t>
      </w:r>
      <w:r w:rsidR="00E42C0A">
        <w:rPr>
          <w:rFonts w:asciiTheme="majorHAnsi" w:hAnsiTheme="majorHAnsi" w:cstheme="majorHAnsi"/>
          <w:bCs/>
          <w:sz w:val="22"/>
          <w:lang w:val="it-IT"/>
        </w:rPr>
        <w:t>zvoja regulative i implementacije</w:t>
      </w:r>
      <w:r w:rsidR="00E42C0A" w:rsidRPr="00E42C0A">
        <w:rPr>
          <w:rFonts w:asciiTheme="majorHAnsi" w:hAnsiTheme="majorHAnsi" w:cstheme="majorHAnsi"/>
          <w:bCs/>
          <w:sz w:val="22"/>
          <w:lang w:val="it-IT"/>
        </w:rPr>
        <w:t xml:space="preserve"> u oblasti veštačke inteligencije</w:t>
      </w:r>
      <w:r w:rsidRPr="00E42C0A">
        <w:rPr>
          <w:rFonts w:asciiTheme="majorHAnsi" w:hAnsiTheme="majorHAnsi" w:cstheme="majorHAnsi"/>
          <w:sz w:val="22"/>
          <w:lang w:val="it-IT"/>
        </w:rPr>
        <w:t>.</w:t>
      </w:r>
    </w:p>
    <w:p w14:paraId="44C33862" w14:textId="46F003A5" w:rsidR="0010453A" w:rsidRPr="00022A23" w:rsidRDefault="00022A23"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9558CD">
        <w:rPr>
          <w:rFonts w:asciiTheme="majorHAnsi" w:hAnsiTheme="majorHAnsi" w:cstheme="majorHAnsi"/>
          <w:bCs/>
          <w:sz w:val="22"/>
          <w:lang w:val="it-IT"/>
        </w:rPr>
        <w:t xml:space="preserve">Kancelarija za informacione tehnologije i elektronsku upravu (OITEG) je centralno vladino telo odgovorno za razvoj, rad i koordinaciju ključnih digitalnih vladinih platformi, uključujući </w:t>
      </w:r>
      <w:r w:rsidR="009558CD" w:rsidRPr="009558CD">
        <w:rPr>
          <w:rFonts w:asciiTheme="majorHAnsi" w:hAnsiTheme="majorHAnsi" w:cstheme="majorHAnsi"/>
          <w:bCs/>
          <w:sz w:val="22"/>
          <w:lang w:val="it-IT"/>
        </w:rPr>
        <w:t>portal eUprave</w:t>
      </w:r>
      <w:r w:rsidRPr="009558CD">
        <w:rPr>
          <w:rFonts w:asciiTheme="majorHAnsi" w:hAnsiTheme="majorHAnsi" w:cstheme="majorHAnsi"/>
          <w:bCs/>
          <w:sz w:val="22"/>
          <w:lang w:val="it-IT"/>
        </w:rPr>
        <w:t xml:space="preserve">, infrastrukturu interoperabilnosti, sisteme za pružanje digitalnih javnih usluga i </w:t>
      </w:r>
      <w:r w:rsidR="009558CD" w:rsidRPr="009558CD">
        <w:rPr>
          <w:rFonts w:asciiTheme="majorHAnsi" w:hAnsiTheme="majorHAnsi" w:cstheme="majorHAnsi"/>
          <w:bCs/>
          <w:sz w:val="22"/>
          <w:lang w:val="it-IT"/>
        </w:rPr>
        <w:t>prateću</w:t>
      </w:r>
      <w:r w:rsidR="009558CD">
        <w:rPr>
          <w:rFonts w:asciiTheme="majorHAnsi" w:hAnsiTheme="majorHAnsi" w:cstheme="majorHAnsi"/>
          <w:bCs/>
          <w:sz w:val="22"/>
          <w:lang w:val="it-IT"/>
        </w:rPr>
        <w:t xml:space="preserve"> IK</w:t>
      </w:r>
      <w:r w:rsidRPr="009558CD">
        <w:rPr>
          <w:rFonts w:asciiTheme="majorHAnsi" w:hAnsiTheme="majorHAnsi" w:cstheme="majorHAnsi"/>
          <w:bCs/>
          <w:sz w:val="22"/>
          <w:lang w:val="it-IT"/>
        </w:rPr>
        <w:t>T infrastrukturu</w:t>
      </w:r>
      <w:r w:rsidR="0010453A" w:rsidRPr="00022A23">
        <w:rPr>
          <w:rFonts w:asciiTheme="majorHAnsi" w:hAnsiTheme="majorHAnsi" w:cstheme="majorHAnsi"/>
          <w:sz w:val="22"/>
          <w:lang w:val="it-IT"/>
        </w:rPr>
        <w:t>.</w:t>
      </w:r>
    </w:p>
    <w:p w14:paraId="1056F154" w14:textId="057F6FDE" w:rsidR="0010453A" w:rsidRPr="00B4168B" w:rsidRDefault="00B4168B"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B4168B">
        <w:rPr>
          <w:rFonts w:asciiTheme="majorHAnsi" w:hAnsiTheme="majorHAnsi" w:cstheme="majorHAnsi"/>
          <w:bCs/>
          <w:sz w:val="22"/>
          <w:lang w:val="it-IT"/>
        </w:rPr>
        <w:t>Ministarstvo za informacione tehnologije i telekomunikacije (MIT) je odgovorno za politi</w:t>
      </w:r>
      <w:r>
        <w:rPr>
          <w:rFonts w:asciiTheme="majorHAnsi" w:hAnsiTheme="majorHAnsi" w:cstheme="majorHAnsi"/>
          <w:bCs/>
          <w:sz w:val="22"/>
          <w:lang w:val="it-IT"/>
        </w:rPr>
        <w:t>ku i regulatorna pitanja u vezi sa elektronskim komunikacijama, digitalnom infrastrukturom, elektronskim dokumentima, elektronskom identifikacijom i uslugama</w:t>
      </w:r>
      <w:r w:rsidRPr="00B4168B">
        <w:rPr>
          <w:rFonts w:asciiTheme="majorHAnsi" w:hAnsiTheme="majorHAnsi" w:cstheme="majorHAnsi"/>
          <w:bCs/>
          <w:sz w:val="22"/>
          <w:lang w:val="it-IT"/>
        </w:rPr>
        <w:t xml:space="preserve"> poverenja. MIT </w:t>
      </w:r>
      <w:r>
        <w:rPr>
          <w:rFonts w:asciiTheme="majorHAnsi" w:hAnsiTheme="majorHAnsi" w:cstheme="majorHAnsi"/>
          <w:bCs/>
          <w:sz w:val="22"/>
          <w:lang w:val="it-IT"/>
        </w:rPr>
        <w:t xml:space="preserve">je </w:t>
      </w:r>
      <w:r w:rsidRPr="00B4168B">
        <w:rPr>
          <w:rFonts w:asciiTheme="majorHAnsi" w:hAnsiTheme="majorHAnsi" w:cstheme="majorHAnsi"/>
          <w:bCs/>
          <w:sz w:val="22"/>
          <w:lang w:val="it-IT"/>
        </w:rPr>
        <w:t>takođe nadzorno telo za pružaoce usluga poverenja</w:t>
      </w:r>
      <w:r w:rsidR="0010453A" w:rsidRPr="00B4168B">
        <w:rPr>
          <w:rFonts w:asciiTheme="majorHAnsi" w:hAnsiTheme="majorHAnsi" w:cstheme="majorHAnsi"/>
          <w:sz w:val="22"/>
          <w:lang w:val="it-IT"/>
        </w:rPr>
        <w:t>.</w:t>
      </w:r>
    </w:p>
    <w:p w14:paraId="7274E24E" w14:textId="034A4978" w:rsidR="0010453A" w:rsidRPr="002047B4" w:rsidRDefault="002047B4"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2047B4">
        <w:rPr>
          <w:rFonts w:asciiTheme="majorHAnsi" w:hAnsiTheme="majorHAnsi" w:cstheme="majorHAnsi"/>
          <w:bCs/>
          <w:sz w:val="22"/>
          <w:lang w:val="it-IT"/>
        </w:rPr>
        <w:t>Ministarstvo unutrašnjih poslova (MUP) je odgovorno za osnovna identifikaciona dokumenta, uključujući lične karte i biometrijske pasoše i upravljanje relevantnim podacima o identitetu i uslugama elektronske identifikacije</w:t>
      </w:r>
      <w:r w:rsidR="0010453A" w:rsidRPr="002047B4">
        <w:rPr>
          <w:rFonts w:asciiTheme="majorHAnsi" w:hAnsiTheme="majorHAnsi" w:cstheme="majorHAnsi"/>
          <w:sz w:val="22"/>
          <w:lang w:val="it-IT"/>
        </w:rPr>
        <w:t>.</w:t>
      </w:r>
    </w:p>
    <w:p w14:paraId="091AAC6C" w14:textId="13B7AF8A" w:rsidR="0010453A" w:rsidRPr="00C340C7" w:rsidRDefault="00C340C7"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C340C7">
        <w:rPr>
          <w:rFonts w:asciiTheme="majorHAnsi" w:hAnsiTheme="majorHAnsi" w:cstheme="majorHAnsi"/>
          <w:sz w:val="22"/>
          <w:lang w:val="it-IT"/>
        </w:rPr>
        <w:t>Ministarstvo javne uprave i lokalne samouprave (MDULS) upravlja Ce</w:t>
      </w:r>
      <w:r w:rsidR="00ED176E">
        <w:rPr>
          <w:rFonts w:asciiTheme="majorHAnsi" w:hAnsiTheme="majorHAnsi" w:cstheme="majorHAnsi"/>
          <w:sz w:val="22"/>
          <w:lang w:val="it-IT"/>
        </w:rPr>
        <w:t>ntralnim registrom stanovništva</w:t>
      </w:r>
      <w:r w:rsidRPr="00C340C7">
        <w:rPr>
          <w:rFonts w:asciiTheme="majorHAnsi" w:hAnsiTheme="majorHAnsi" w:cstheme="majorHAnsi"/>
          <w:sz w:val="22"/>
          <w:lang w:val="it-IT"/>
        </w:rPr>
        <w:t xml:space="preserve"> koji predstavlja ključni verodostojni izvor podataka o identitetu za javnu upravu i digitalnu isporuku usluga</w:t>
      </w:r>
      <w:r w:rsidR="0010453A" w:rsidRPr="00C340C7">
        <w:rPr>
          <w:rFonts w:asciiTheme="majorHAnsi" w:hAnsiTheme="majorHAnsi" w:cstheme="majorHAnsi"/>
          <w:sz w:val="22"/>
          <w:lang w:val="it-IT"/>
        </w:rPr>
        <w:t>.</w:t>
      </w:r>
    </w:p>
    <w:p w14:paraId="5F5555DE" w14:textId="3B21202F" w:rsidR="0010453A" w:rsidRPr="00255634" w:rsidRDefault="00255634"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255634">
        <w:rPr>
          <w:rFonts w:asciiTheme="majorHAnsi" w:hAnsiTheme="majorHAnsi" w:cstheme="majorHAnsi"/>
          <w:sz w:val="22"/>
          <w:lang w:val="it-IT"/>
        </w:rPr>
        <w:t>Poverenik za informacije od javnog značaja i zaštitu podataka o ličnosti je nezavisni organ nadležan za nadzor nad ostvarivanjem prava na pristup informacijama od javnog značaja i zaštitom podataka o ličnosti, uključujući i usklađenost sa pravnim okvirom Republike Srbije za zaštitu podataka o ličnosti</w:t>
      </w:r>
      <w:r w:rsidR="0010453A" w:rsidRPr="00255634">
        <w:rPr>
          <w:rFonts w:asciiTheme="majorHAnsi" w:hAnsiTheme="majorHAnsi" w:cstheme="majorHAnsi"/>
          <w:sz w:val="22"/>
          <w:lang w:val="it-IT"/>
        </w:rPr>
        <w:t>.</w:t>
      </w:r>
    </w:p>
    <w:p w14:paraId="67CC0D0C" w14:textId="57206D86" w:rsidR="0010453A" w:rsidRPr="00255634" w:rsidRDefault="00255634"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255634">
        <w:rPr>
          <w:rFonts w:asciiTheme="majorHAnsi" w:hAnsiTheme="majorHAnsi" w:cstheme="majorHAnsi"/>
          <w:sz w:val="22"/>
          <w:lang w:val="it-IT"/>
        </w:rPr>
        <w:t xml:space="preserve">Kancelarija za informacionu bezbednost, nakon što postane u potpunosti operativna, biće centralni organ nadležan za sajber bezbednost, uključujući prevenciju rizika po bezbednost IKT sistema, odgovor na incidente, nadzor nad kritičnim IKT sistemima, koordinaciju u oblasti sajber bezbednosti, kao i </w:t>
      </w:r>
      <w:r>
        <w:rPr>
          <w:rFonts w:asciiTheme="majorHAnsi" w:hAnsiTheme="majorHAnsi" w:cstheme="majorHAnsi"/>
          <w:sz w:val="22"/>
          <w:lang w:val="it-IT"/>
        </w:rPr>
        <w:t>prateće</w:t>
      </w:r>
      <w:r w:rsidRPr="00255634">
        <w:rPr>
          <w:rFonts w:asciiTheme="majorHAnsi" w:hAnsiTheme="majorHAnsi" w:cstheme="majorHAnsi"/>
          <w:sz w:val="22"/>
          <w:lang w:val="it-IT"/>
        </w:rPr>
        <w:t xml:space="preserve"> obuke i smernice. Do potpune operativnosti ove kancelarije, relevantne funkcije u oblasti sajber bezbednosti obavljaju postojeće nadležne institucije, uključujući OITEG i RATEL, u skladu sa njihovim nadležnostima</w:t>
      </w:r>
      <w:r w:rsidR="0010453A" w:rsidRPr="00255634">
        <w:rPr>
          <w:rFonts w:asciiTheme="majorHAnsi" w:hAnsiTheme="majorHAnsi" w:cstheme="majorHAnsi"/>
          <w:sz w:val="22"/>
          <w:lang w:val="it-IT"/>
        </w:rPr>
        <w:t>.</w:t>
      </w:r>
    </w:p>
    <w:p w14:paraId="1A1D78AD" w14:textId="5E276098" w:rsidR="0010453A" w:rsidRPr="00255634" w:rsidRDefault="00255634"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255634">
        <w:rPr>
          <w:rFonts w:asciiTheme="majorHAnsi" w:hAnsiTheme="majorHAnsi" w:cstheme="majorHAnsi"/>
          <w:sz w:val="22"/>
          <w:lang w:val="it-IT"/>
        </w:rPr>
        <w:t>Regulatorna agencija za elektronske komunikacije i poštanske usluge (RATEL) obavlja regulatorne funkcije u sektoru elektronskih komunikacija i ima značajne nadležnosti u oblasti sajber bezbednosti i funkcija nacionalnog CERT-a tokom primenljivog prelaznog perioda</w:t>
      </w:r>
      <w:r w:rsidR="0010453A" w:rsidRPr="00255634">
        <w:rPr>
          <w:rFonts w:asciiTheme="majorHAnsi" w:hAnsiTheme="majorHAnsi" w:cstheme="majorHAnsi"/>
          <w:sz w:val="22"/>
          <w:lang w:val="it-IT"/>
        </w:rPr>
        <w:t>.</w:t>
      </w:r>
    </w:p>
    <w:p w14:paraId="77AB4D3A" w14:textId="1CE6AACB" w:rsidR="0010453A" w:rsidRPr="00255634" w:rsidRDefault="00255634"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255634">
        <w:rPr>
          <w:rFonts w:asciiTheme="majorHAnsi" w:hAnsiTheme="majorHAnsi" w:cstheme="majorHAnsi"/>
          <w:sz w:val="22"/>
          <w:lang w:val="it-IT"/>
        </w:rPr>
        <w:t>Sekretarijat za javne politike (PPS) pruža podršku koordinaciji javnih politika i upravljanju pružanjem javnih usluga, uključujući standarde za informacije o javnim uslugama, katalogizaciju, procedure i kvalitet pružanja usluga</w:t>
      </w:r>
      <w:r w:rsidR="0010453A" w:rsidRPr="00255634">
        <w:rPr>
          <w:rFonts w:asciiTheme="majorHAnsi" w:hAnsiTheme="majorHAnsi" w:cstheme="majorHAnsi"/>
          <w:sz w:val="22"/>
          <w:lang w:val="it-IT"/>
        </w:rPr>
        <w:t>.</w:t>
      </w:r>
    </w:p>
    <w:p w14:paraId="01BE95BF" w14:textId="7F3A0C2E" w:rsidR="0010453A" w:rsidRPr="00255634" w:rsidRDefault="00255634" w:rsidP="0010453A">
      <w:pPr>
        <w:pStyle w:val="ListParagraph"/>
        <w:numPr>
          <w:ilvl w:val="0"/>
          <w:numId w:val="27"/>
        </w:numPr>
        <w:spacing w:after="120" w:line="252" w:lineRule="auto"/>
        <w:ind w:right="576"/>
        <w:jc w:val="both"/>
        <w:rPr>
          <w:rFonts w:asciiTheme="majorHAnsi" w:hAnsiTheme="majorHAnsi" w:cstheme="majorHAnsi"/>
          <w:sz w:val="22"/>
          <w:lang w:val="it-IT"/>
        </w:rPr>
      </w:pPr>
      <w:r>
        <w:rPr>
          <w:rFonts w:asciiTheme="majorHAnsi" w:hAnsiTheme="majorHAnsi" w:cstheme="majorHAnsi"/>
          <w:sz w:val="22"/>
          <w:lang w:val="it-IT"/>
        </w:rPr>
        <w:t>I</w:t>
      </w:r>
      <w:r w:rsidRPr="00255634">
        <w:rPr>
          <w:rFonts w:asciiTheme="majorHAnsi" w:hAnsiTheme="majorHAnsi" w:cstheme="majorHAnsi"/>
          <w:sz w:val="22"/>
          <w:lang w:val="it-IT"/>
        </w:rPr>
        <w:t xml:space="preserve">nstitut za standardizaciju Srbije (ISS) je nacionalno telo za standardizaciju i nadležan je za tehničke standarde koji se primenjuju na digitalni identitet, usluge od poverenja, sajber bezbednost, interoperabilnost i </w:t>
      </w:r>
      <w:r>
        <w:rPr>
          <w:rFonts w:asciiTheme="majorHAnsi" w:hAnsiTheme="majorHAnsi" w:cstheme="majorHAnsi"/>
          <w:sz w:val="22"/>
          <w:lang w:val="it-IT"/>
        </w:rPr>
        <w:t>prateće</w:t>
      </w:r>
      <w:r w:rsidRPr="00255634">
        <w:rPr>
          <w:rFonts w:asciiTheme="majorHAnsi" w:hAnsiTheme="majorHAnsi" w:cstheme="majorHAnsi"/>
          <w:sz w:val="22"/>
          <w:lang w:val="it-IT"/>
        </w:rPr>
        <w:t xml:space="preserve"> sisteme digitalne uprave</w:t>
      </w:r>
      <w:r w:rsidR="0010453A" w:rsidRPr="00255634">
        <w:rPr>
          <w:rFonts w:asciiTheme="majorHAnsi" w:hAnsiTheme="majorHAnsi" w:cstheme="majorHAnsi"/>
          <w:sz w:val="22"/>
          <w:lang w:val="it-IT"/>
        </w:rPr>
        <w:t>.</w:t>
      </w:r>
    </w:p>
    <w:p w14:paraId="0783749E" w14:textId="687B31D5" w:rsidR="0010453A" w:rsidRPr="00255634" w:rsidRDefault="00255634"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255634">
        <w:rPr>
          <w:rFonts w:asciiTheme="majorHAnsi" w:hAnsiTheme="majorHAnsi" w:cstheme="majorHAnsi"/>
          <w:sz w:val="22"/>
          <w:lang w:val="it-IT"/>
        </w:rPr>
        <w:t xml:space="preserve">Akreditaciono telo Srbije (ATS) je nacionalno telo za akreditaciju i nadležno je za ocenjivanje usaglašenosti i akreditacione aranžmane povezane sa digitalnim identitetom, uslugama od poverenja i </w:t>
      </w:r>
      <w:r w:rsidR="00B66BA2">
        <w:rPr>
          <w:rFonts w:asciiTheme="majorHAnsi" w:hAnsiTheme="majorHAnsi" w:cstheme="majorHAnsi"/>
          <w:sz w:val="22"/>
          <w:lang w:val="it-IT"/>
        </w:rPr>
        <w:t>pratećim</w:t>
      </w:r>
      <w:r w:rsidRPr="00255634">
        <w:rPr>
          <w:rFonts w:asciiTheme="majorHAnsi" w:hAnsiTheme="majorHAnsi" w:cstheme="majorHAnsi"/>
          <w:sz w:val="22"/>
          <w:lang w:val="it-IT"/>
        </w:rPr>
        <w:t xml:space="preserve"> šemama sertifikacije</w:t>
      </w:r>
      <w:r w:rsidR="0010453A" w:rsidRPr="00255634">
        <w:rPr>
          <w:rFonts w:asciiTheme="majorHAnsi" w:hAnsiTheme="majorHAnsi" w:cstheme="majorHAnsi"/>
          <w:sz w:val="22"/>
          <w:lang w:val="it-IT"/>
        </w:rPr>
        <w:t>.</w:t>
      </w:r>
    </w:p>
    <w:p w14:paraId="591D75AA" w14:textId="2E816F27" w:rsidR="0010453A" w:rsidRPr="00C47D52" w:rsidRDefault="00C47D52"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C47D52">
        <w:rPr>
          <w:rFonts w:asciiTheme="majorHAnsi" w:hAnsiTheme="majorHAnsi" w:cstheme="majorHAnsi"/>
          <w:sz w:val="22"/>
          <w:lang w:val="it-IT"/>
        </w:rPr>
        <w:t>Zakon o elektronskom dokumentu, elektronskoj identifikaciji i uslugama od poverenja u elektronskom poslovanju predstavlja glavni pravni okvir za elektronska dokumenta, elektronsku identifikaciju, elektronske potpise, elektronske pečate, elektronske vremenske žigove, usluge elektronske preporučene dostave, sertifikate za autentifikaciju internet stranica i usluge od poverenja</w:t>
      </w:r>
      <w:r w:rsidR="0010453A" w:rsidRPr="00C47D52">
        <w:rPr>
          <w:rFonts w:asciiTheme="majorHAnsi" w:hAnsiTheme="majorHAnsi" w:cstheme="majorHAnsi"/>
          <w:sz w:val="22"/>
          <w:lang w:val="it-IT"/>
        </w:rPr>
        <w:t>.</w:t>
      </w:r>
    </w:p>
    <w:p w14:paraId="5A37E84B" w14:textId="1A1E0BCF" w:rsidR="0010453A" w:rsidRPr="00C47D52" w:rsidRDefault="00C47D52"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C47D52">
        <w:rPr>
          <w:rFonts w:asciiTheme="majorHAnsi" w:hAnsiTheme="majorHAnsi" w:cstheme="majorHAnsi"/>
          <w:sz w:val="22"/>
          <w:lang w:val="it-IT"/>
        </w:rPr>
        <w:t>Zakon o elektronskoj upravi i povezani podzakonski akti obezbeđuju pravni osnov za elektronsku javnu upravu, digitalne javne usluge, razmenu podataka, interoperabilnost i korišćenje javnih registara u pružanju digitalnih usluga</w:t>
      </w:r>
      <w:r w:rsidR="0010453A" w:rsidRPr="00C47D52">
        <w:rPr>
          <w:rFonts w:asciiTheme="majorHAnsi" w:hAnsiTheme="majorHAnsi" w:cstheme="majorHAnsi"/>
          <w:sz w:val="22"/>
          <w:lang w:val="it-IT"/>
        </w:rPr>
        <w:t>.</w:t>
      </w:r>
    </w:p>
    <w:p w14:paraId="2DD7653B" w14:textId="17B41072" w:rsidR="0010453A" w:rsidRPr="00C47D52" w:rsidRDefault="00C47D52"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C47D52">
        <w:rPr>
          <w:rFonts w:asciiTheme="majorHAnsi" w:hAnsiTheme="majorHAnsi" w:cstheme="majorHAnsi"/>
          <w:sz w:val="22"/>
          <w:lang w:val="it-IT"/>
        </w:rPr>
        <w:lastRenderedPageBreak/>
        <w:t>Zakon o Centralnom registru stanovništva uređuje uspostavljanje, upravljanje i korišćenje Centralnog registra stanovništva kao integrisanog izvora podataka o stanovništvu i podataka povezanih sa identitetom za potrebe javne uprave</w:t>
      </w:r>
      <w:r w:rsidR="0010453A" w:rsidRPr="00C47D52">
        <w:rPr>
          <w:rFonts w:asciiTheme="majorHAnsi" w:hAnsiTheme="majorHAnsi" w:cstheme="majorHAnsi"/>
          <w:sz w:val="22"/>
          <w:lang w:val="it-IT"/>
        </w:rPr>
        <w:t>.</w:t>
      </w:r>
    </w:p>
    <w:p w14:paraId="3B53560F" w14:textId="27755060" w:rsidR="0010453A" w:rsidRPr="00C47D52" w:rsidRDefault="00C47D52"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C47D52">
        <w:rPr>
          <w:rFonts w:asciiTheme="majorHAnsi" w:hAnsiTheme="majorHAnsi" w:cstheme="majorHAnsi"/>
          <w:sz w:val="22"/>
          <w:lang w:val="it-IT"/>
        </w:rPr>
        <w:t>Zakon o ličnim kartama uređuje izdavanje i korišćenje ličnih karata Republike Srbije, uključujući njihovu ulogu kao identifikacionih dokumenata i, gde je primenljivo, kao sredstava elektronske identifikacije</w:t>
      </w:r>
      <w:r w:rsidR="0010453A" w:rsidRPr="00C47D52">
        <w:rPr>
          <w:rFonts w:asciiTheme="majorHAnsi" w:hAnsiTheme="majorHAnsi" w:cstheme="majorHAnsi"/>
          <w:sz w:val="22"/>
          <w:lang w:val="it-IT"/>
        </w:rPr>
        <w:t>.</w:t>
      </w:r>
    </w:p>
    <w:p w14:paraId="07195E2F" w14:textId="12A68F21" w:rsidR="0010453A" w:rsidRPr="00B6348C" w:rsidRDefault="00B6348C"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B6348C">
        <w:rPr>
          <w:rFonts w:asciiTheme="majorHAnsi" w:hAnsiTheme="majorHAnsi" w:cstheme="majorHAnsi"/>
          <w:sz w:val="22"/>
          <w:lang w:val="it-IT"/>
        </w:rPr>
        <w:t>Zakon o putnim ispravama uređuje izdavanje i korišćenje putnih isprava Republike Srbije, uključujući biometrijske pasoše</w:t>
      </w:r>
      <w:r w:rsidR="0010453A" w:rsidRPr="00B6348C">
        <w:rPr>
          <w:rFonts w:asciiTheme="majorHAnsi" w:hAnsiTheme="majorHAnsi" w:cstheme="majorHAnsi"/>
          <w:sz w:val="22"/>
          <w:lang w:val="it-IT"/>
        </w:rPr>
        <w:t>.</w:t>
      </w:r>
    </w:p>
    <w:p w14:paraId="733EF7A7" w14:textId="4858C507" w:rsidR="0010453A" w:rsidRPr="00D32B7D" w:rsidRDefault="00D32B7D"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D32B7D">
        <w:rPr>
          <w:rFonts w:asciiTheme="majorHAnsi" w:hAnsiTheme="majorHAnsi" w:cstheme="majorHAnsi"/>
          <w:sz w:val="22"/>
          <w:lang w:val="it-IT"/>
        </w:rPr>
        <w:t>Zakon o zaštiti podataka o ličnosti uređuje obradu i zaštitu podataka o ličnosti i uspostavlja zaštitne mere relevantne za dizajn i sprovođenje digitalnih javnih usluga, elektronske identifikacije, Digitalnog novčanika i usluga zasnovanih na veštačkoj inteligenciji</w:t>
      </w:r>
      <w:r w:rsidR="0010453A" w:rsidRPr="00D32B7D">
        <w:rPr>
          <w:rFonts w:asciiTheme="majorHAnsi" w:hAnsiTheme="majorHAnsi" w:cstheme="majorHAnsi"/>
          <w:sz w:val="22"/>
          <w:lang w:val="it-IT"/>
        </w:rPr>
        <w:t>.</w:t>
      </w:r>
    </w:p>
    <w:p w14:paraId="51AFC5EA" w14:textId="51FF83A7" w:rsidR="0010453A" w:rsidRPr="009C0E90" w:rsidRDefault="009C0E90"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9C0E90">
        <w:rPr>
          <w:rFonts w:asciiTheme="majorHAnsi" w:hAnsiTheme="majorHAnsi" w:cstheme="majorHAnsi"/>
          <w:sz w:val="22"/>
          <w:lang w:val="it-IT"/>
        </w:rPr>
        <w:t>Zakon o informacionoj bezbednosti uređuje zahteve u oblasti sajber bezbednosti i informacion</w:t>
      </w:r>
      <w:r w:rsidRPr="009C0E90">
        <w:rPr>
          <w:rFonts w:asciiTheme="majorHAnsi" w:hAnsiTheme="majorHAnsi" w:cstheme="majorHAnsi"/>
          <w:sz w:val="22"/>
        </w:rPr>
        <w:t>е</w:t>
      </w:r>
      <w:r w:rsidRPr="009C0E90">
        <w:rPr>
          <w:rFonts w:asciiTheme="majorHAnsi" w:hAnsiTheme="majorHAnsi" w:cstheme="majorHAnsi"/>
          <w:sz w:val="22"/>
          <w:lang w:val="it-IT"/>
        </w:rPr>
        <w:t xml:space="preserve"> bezbednosti, uključujući upravljanje rizicima, prijavljivanje incidenata, zaštitu IKT sistema i institucionalni okvir za sajber bezbednost</w:t>
      </w:r>
      <w:r w:rsidR="0010453A" w:rsidRPr="009C0E90">
        <w:rPr>
          <w:rFonts w:asciiTheme="majorHAnsi" w:hAnsiTheme="majorHAnsi" w:cstheme="majorHAnsi"/>
          <w:sz w:val="22"/>
          <w:lang w:val="it-IT"/>
        </w:rPr>
        <w:t>.</w:t>
      </w:r>
    </w:p>
    <w:p w14:paraId="5F4892C6" w14:textId="0F83D0F6" w:rsidR="0010453A" w:rsidRPr="009C0E90" w:rsidRDefault="0010453A"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9C0E90">
        <w:rPr>
          <w:rFonts w:asciiTheme="majorHAnsi" w:hAnsiTheme="majorHAnsi" w:cstheme="majorHAnsi"/>
          <w:sz w:val="22"/>
          <w:lang w:val="it-IT"/>
        </w:rPr>
        <w:t xml:space="preserve"> </w:t>
      </w:r>
      <w:r w:rsidR="009C0E90" w:rsidRPr="009C0E90">
        <w:rPr>
          <w:rFonts w:asciiTheme="majorHAnsi" w:hAnsiTheme="majorHAnsi" w:cstheme="majorHAnsi"/>
          <w:sz w:val="22"/>
          <w:lang w:val="it-IT"/>
        </w:rPr>
        <w:t>Zakon o elektronskoj trgovini uređuje elektronsku trgovinu i usluge informacionog društva, uključujući određene obaveze koje se primenjuju na pružaoce digitalnih usluga</w:t>
      </w:r>
      <w:r w:rsidRPr="009C0E90">
        <w:rPr>
          <w:rFonts w:asciiTheme="majorHAnsi" w:hAnsiTheme="majorHAnsi" w:cstheme="majorHAnsi"/>
          <w:sz w:val="22"/>
          <w:lang w:val="it-IT"/>
        </w:rPr>
        <w:t>.</w:t>
      </w:r>
    </w:p>
    <w:p w14:paraId="7E339DED" w14:textId="08D1D1F7" w:rsidR="0010453A" w:rsidRPr="009C0E90" w:rsidRDefault="009C0E90" w:rsidP="0010453A">
      <w:pPr>
        <w:pStyle w:val="ListParagraph"/>
        <w:numPr>
          <w:ilvl w:val="0"/>
          <w:numId w:val="27"/>
        </w:numPr>
        <w:spacing w:after="120" w:line="252" w:lineRule="auto"/>
        <w:ind w:right="576"/>
        <w:jc w:val="both"/>
        <w:rPr>
          <w:rFonts w:asciiTheme="majorHAnsi" w:hAnsiTheme="majorHAnsi" w:cstheme="majorHAnsi"/>
          <w:sz w:val="22"/>
          <w:lang w:val="it-IT"/>
        </w:rPr>
      </w:pPr>
      <w:r w:rsidRPr="009C0E90">
        <w:rPr>
          <w:rFonts w:asciiTheme="majorHAnsi" w:hAnsiTheme="majorHAnsi" w:cstheme="majorHAnsi"/>
          <w:sz w:val="22"/>
          <w:lang w:val="it-IT"/>
        </w:rPr>
        <w:t>Zakon o slobodnom pristupu informacijama od javnog značaja uređuje pravo na pristup informacijama koje poseduju organi javne vlasti i podržava transparentnost i javnu odgovornost</w:t>
      </w:r>
      <w:r w:rsidR="0010453A" w:rsidRPr="009C0E90">
        <w:rPr>
          <w:rFonts w:asciiTheme="majorHAnsi" w:hAnsiTheme="majorHAnsi" w:cstheme="majorHAnsi"/>
          <w:sz w:val="22"/>
          <w:lang w:val="it-IT"/>
        </w:rPr>
        <w:t>.</w:t>
      </w:r>
    </w:p>
    <w:p w14:paraId="3C8174BC" w14:textId="699742EE" w:rsidR="00F704F5" w:rsidRPr="009C0E90" w:rsidRDefault="009C0E90" w:rsidP="00495BBE">
      <w:pPr>
        <w:pStyle w:val="ListParagraph"/>
        <w:numPr>
          <w:ilvl w:val="0"/>
          <w:numId w:val="27"/>
        </w:numPr>
        <w:spacing w:after="120" w:line="252" w:lineRule="auto"/>
        <w:ind w:right="576"/>
        <w:jc w:val="both"/>
        <w:rPr>
          <w:rFonts w:asciiTheme="majorHAnsi" w:hAnsiTheme="majorHAnsi" w:cstheme="majorHAnsi"/>
          <w:sz w:val="22"/>
          <w:lang w:val="it-IT"/>
        </w:rPr>
      </w:pPr>
      <w:r>
        <w:rPr>
          <w:rFonts w:asciiTheme="majorHAnsi" w:hAnsiTheme="majorHAnsi" w:cstheme="majorHAnsi"/>
          <w:sz w:val="22"/>
          <w:lang w:val="it-IT"/>
        </w:rPr>
        <w:t>Z</w:t>
      </w:r>
      <w:r w:rsidRPr="009C0E90">
        <w:rPr>
          <w:rFonts w:asciiTheme="majorHAnsi" w:hAnsiTheme="majorHAnsi" w:cstheme="majorHAnsi"/>
          <w:sz w:val="22"/>
          <w:lang w:val="it-IT"/>
        </w:rPr>
        <w:t>akon o javnom informisanju i medijima, Zakon o zabrani diskriminacije i Zakon o rodnoj ravnopravnosti pružaju dodatne zaštitne mehanizme relevantne za transparentnu komunikaciju, nediskriminaciju, jednak pristup i inkluzivno uključivanje zainteresovanih strana</w:t>
      </w:r>
      <w:r w:rsidR="0010453A" w:rsidRPr="009C0E90">
        <w:rPr>
          <w:rFonts w:asciiTheme="majorHAnsi" w:hAnsiTheme="majorHAnsi" w:cstheme="majorHAnsi"/>
          <w:sz w:val="22"/>
          <w:lang w:val="it-IT"/>
        </w:rPr>
        <w:t>.</w:t>
      </w:r>
    </w:p>
    <w:p w14:paraId="7458E47B" w14:textId="085687DF" w:rsidR="007E15DB" w:rsidRPr="00386B69" w:rsidRDefault="00DA7218" w:rsidP="00AC0E2C">
      <w:pPr>
        <w:pStyle w:val="Heading2"/>
        <w:numPr>
          <w:ilvl w:val="1"/>
          <w:numId w:val="12"/>
        </w:numPr>
        <w:spacing w:before="60" w:after="120"/>
        <w:ind w:left="720" w:right="576"/>
        <w:jc w:val="both"/>
        <w:rPr>
          <w:rFonts w:cstheme="majorHAnsi"/>
          <w:color w:val="auto"/>
          <w:sz w:val="22"/>
          <w:szCs w:val="22"/>
        </w:rPr>
      </w:pPr>
      <w:r>
        <w:rPr>
          <w:rFonts w:eastAsia="Arial" w:cstheme="majorHAnsi"/>
          <w:color w:val="auto"/>
          <w:sz w:val="22"/>
          <w:szCs w:val="22"/>
        </w:rPr>
        <w:t>Zahtevi ESS10 Svetske banke</w:t>
      </w:r>
    </w:p>
    <w:p w14:paraId="146740B0" w14:textId="65D1E709" w:rsidR="00DA7218" w:rsidRPr="00DA7218" w:rsidRDefault="00DA7218" w:rsidP="00DA7218">
      <w:pPr>
        <w:spacing w:after="120" w:line="252" w:lineRule="auto"/>
        <w:ind w:left="720" w:right="576"/>
        <w:jc w:val="both"/>
        <w:rPr>
          <w:rFonts w:asciiTheme="majorHAnsi" w:hAnsiTheme="majorHAnsi" w:cstheme="majorHAnsi"/>
          <w:sz w:val="22"/>
        </w:rPr>
      </w:pPr>
      <w:r w:rsidRPr="00DA7218">
        <w:rPr>
          <w:rFonts w:asciiTheme="majorHAnsi" w:hAnsiTheme="majorHAnsi" w:cstheme="majorHAnsi"/>
          <w:sz w:val="22"/>
        </w:rPr>
        <w:t>ESS10 se primenjuje na sve projekte koje podržava Svetska banka kroz finansiranje investicionih projekat</w:t>
      </w:r>
      <w:r w:rsidR="000918DF">
        <w:rPr>
          <w:rFonts w:asciiTheme="majorHAnsi" w:hAnsiTheme="majorHAnsi" w:cstheme="majorHAnsi"/>
          <w:sz w:val="22"/>
        </w:rPr>
        <w:t>a</w:t>
      </w:r>
      <w:r w:rsidRPr="00DA7218">
        <w:rPr>
          <w:rFonts w:asciiTheme="majorHAnsi" w:hAnsiTheme="majorHAnsi" w:cstheme="majorHAnsi"/>
          <w:sz w:val="22"/>
        </w:rPr>
        <w:t xml:space="preserve">. Ovaj standard zahteva da zajmoprimac uključuje zainteresovane strane tokom celog životnog ciklusa projekta, kao sastavni deo </w:t>
      </w:r>
      <w:r w:rsidR="000918DF">
        <w:rPr>
          <w:rFonts w:asciiTheme="majorHAnsi" w:hAnsiTheme="majorHAnsi" w:cstheme="majorHAnsi"/>
          <w:sz w:val="22"/>
        </w:rPr>
        <w:t>pripreme</w:t>
      </w:r>
      <w:r w:rsidRPr="00DA7218">
        <w:rPr>
          <w:rFonts w:asciiTheme="majorHAnsi" w:hAnsiTheme="majorHAnsi" w:cstheme="majorHAnsi"/>
          <w:sz w:val="22"/>
        </w:rPr>
        <w:t xml:space="preserve"> i sprovođenja projekta.</w:t>
      </w:r>
    </w:p>
    <w:p w14:paraId="3626AEF9" w14:textId="628EFF48" w:rsidR="007E15DB" w:rsidRPr="00386B69" w:rsidRDefault="00DA7218" w:rsidP="000918DF">
      <w:pPr>
        <w:spacing w:after="120" w:line="252" w:lineRule="auto"/>
        <w:ind w:left="720" w:right="576"/>
        <w:jc w:val="both"/>
        <w:rPr>
          <w:rFonts w:asciiTheme="majorHAnsi" w:hAnsiTheme="majorHAnsi" w:cstheme="majorHAnsi"/>
          <w:sz w:val="22"/>
        </w:rPr>
      </w:pPr>
      <w:r w:rsidRPr="00DA7218">
        <w:rPr>
          <w:rFonts w:asciiTheme="majorHAnsi" w:hAnsiTheme="majorHAnsi" w:cstheme="majorHAnsi"/>
          <w:sz w:val="22"/>
          <w:lang w:val="it-IT"/>
        </w:rPr>
        <w:t xml:space="preserve">ESS10 zahteva da angažovanje zainteresovanih strana bude srazmerno prirodi i obimu projekta, kao i njegovim potencijalnim rizicima i uticajima. </w:t>
      </w:r>
      <w:r w:rsidR="000918DF">
        <w:rPr>
          <w:rFonts w:asciiTheme="majorHAnsi" w:hAnsiTheme="majorHAnsi" w:cstheme="majorHAnsi"/>
          <w:sz w:val="22"/>
        </w:rPr>
        <w:t>Sadrži</w:t>
      </w:r>
      <w:r w:rsidRPr="00DA7218">
        <w:rPr>
          <w:rFonts w:asciiTheme="majorHAnsi" w:hAnsiTheme="majorHAnsi" w:cstheme="majorHAnsi"/>
          <w:sz w:val="22"/>
        </w:rPr>
        <w:t xml:space="preserve"> sledeće ključne elemente</w:t>
      </w:r>
      <w:r w:rsidR="000918DF">
        <w:rPr>
          <w:rFonts w:asciiTheme="majorHAnsi" w:hAnsiTheme="majorHAnsi" w:cstheme="majorHAnsi"/>
          <w:sz w:val="22"/>
        </w:rPr>
        <w:t>:</w:t>
      </w:r>
    </w:p>
    <w:p w14:paraId="05136120" w14:textId="06FED157" w:rsidR="007E15DB" w:rsidRPr="000918DF" w:rsidRDefault="00811B0E" w:rsidP="00AC0E2C">
      <w:pPr>
        <w:pStyle w:val="ListBullet"/>
        <w:spacing w:after="120" w:line="252" w:lineRule="auto"/>
        <w:ind w:left="720" w:right="576"/>
        <w:jc w:val="both"/>
        <w:rPr>
          <w:rFonts w:asciiTheme="majorHAnsi" w:hAnsiTheme="majorHAnsi" w:cstheme="majorHAnsi"/>
          <w:sz w:val="22"/>
          <w:lang w:val="it-IT"/>
        </w:rPr>
      </w:pPr>
      <w:r w:rsidRPr="000918DF">
        <w:rPr>
          <w:rFonts w:asciiTheme="majorHAnsi" w:hAnsiTheme="majorHAnsi" w:cstheme="majorHAnsi"/>
          <w:sz w:val="22"/>
          <w:lang w:val="it-IT"/>
        </w:rPr>
        <w:t>i</w:t>
      </w:r>
      <w:r w:rsidR="000918DF" w:rsidRPr="000918DF">
        <w:rPr>
          <w:rFonts w:asciiTheme="majorHAnsi" w:hAnsiTheme="majorHAnsi" w:cstheme="majorHAnsi"/>
          <w:sz w:val="22"/>
          <w:lang w:val="it-IT"/>
        </w:rPr>
        <w:t>dentifikaciju i analizu zainteresovanih strana u projektu</w:t>
      </w:r>
      <w:r w:rsidRPr="000918DF">
        <w:rPr>
          <w:rFonts w:asciiTheme="majorHAnsi" w:hAnsiTheme="majorHAnsi" w:cstheme="majorHAnsi"/>
          <w:sz w:val="22"/>
          <w:lang w:val="it-IT"/>
        </w:rPr>
        <w:t>;</w:t>
      </w:r>
    </w:p>
    <w:p w14:paraId="5381B3DC" w14:textId="43A1850E" w:rsidR="007E15DB" w:rsidRPr="000918DF" w:rsidRDefault="000918DF" w:rsidP="00AC0E2C">
      <w:pPr>
        <w:pStyle w:val="ListBullet"/>
        <w:spacing w:after="120" w:line="252" w:lineRule="auto"/>
        <w:ind w:left="720" w:right="576"/>
        <w:jc w:val="both"/>
        <w:rPr>
          <w:rFonts w:asciiTheme="majorHAnsi" w:hAnsiTheme="majorHAnsi" w:cstheme="majorHAnsi"/>
          <w:sz w:val="22"/>
          <w:lang w:val="it-IT"/>
        </w:rPr>
      </w:pPr>
      <w:r w:rsidRPr="000918DF">
        <w:rPr>
          <w:rFonts w:asciiTheme="majorHAnsi" w:hAnsiTheme="majorHAnsi" w:cstheme="majorHAnsi"/>
          <w:sz w:val="22"/>
          <w:lang w:val="it-IT"/>
        </w:rPr>
        <w:t>planiranje načina na koji će se angažovanje sprovoditi;</w:t>
      </w:r>
    </w:p>
    <w:p w14:paraId="31DDD158" w14:textId="13FB6626" w:rsidR="007E15DB" w:rsidRPr="000918DF" w:rsidRDefault="000918DF" w:rsidP="00AC0E2C">
      <w:pPr>
        <w:pStyle w:val="ListBullet"/>
        <w:spacing w:after="120" w:line="252" w:lineRule="auto"/>
        <w:ind w:left="720" w:right="576"/>
        <w:jc w:val="both"/>
        <w:rPr>
          <w:rFonts w:asciiTheme="majorHAnsi" w:hAnsiTheme="majorHAnsi" w:cstheme="majorHAnsi"/>
          <w:sz w:val="22"/>
          <w:lang w:val="it-IT"/>
        </w:rPr>
      </w:pPr>
      <w:r w:rsidRPr="000918DF">
        <w:rPr>
          <w:rFonts w:asciiTheme="majorHAnsi" w:hAnsiTheme="majorHAnsi" w:cstheme="majorHAnsi"/>
          <w:sz w:val="22"/>
          <w:lang w:val="it-IT"/>
        </w:rPr>
        <w:t>objavljivanje relevantnih informacija o projektu na blagovremen, razumljiv, pristupačan i odgovarajući način</w:t>
      </w:r>
      <w:r w:rsidR="00811B0E" w:rsidRPr="000918DF">
        <w:rPr>
          <w:rFonts w:asciiTheme="majorHAnsi" w:hAnsiTheme="majorHAnsi" w:cstheme="majorHAnsi"/>
          <w:sz w:val="22"/>
          <w:lang w:val="it-IT"/>
        </w:rPr>
        <w:t>;</w:t>
      </w:r>
    </w:p>
    <w:p w14:paraId="25B4EF51" w14:textId="70E2E485" w:rsidR="007E15DB" w:rsidRPr="000918DF" w:rsidRDefault="00805909"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suštinske</w:t>
      </w:r>
      <w:r w:rsidR="000918DF" w:rsidRPr="000918DF">
        <w:rPr>
          <w:rFonts w:asciiTheme="majorHAnsi" w:hAnsiTheme="majorHAnsi" w:cstheme="majorHAnsi"/>
          <w:sz w:val="22"/>
          <w:lang w:val="it-IT"/>
        </w:rPr>
        <w:t xml:space="preserve"> konsultacije sa zainteresovanim stranama</w:t>
      </w:r>
      <w:r w:rsidR="00811B0E" w:rsidRPr="000918DF">
        <w:rPr>
          <w:rFonts w:asciiTheme="majorHAnsi" w:hAnsiTheme="majorHAnsi" w:cstheme="majorHAnsi"/>
          <w:sz w:val="22"/>
          <w:lang w:val="it-IT"/>
        </w:rPr>
        <w:t>;</w:t>
      </w:r>
    </w:p>
    <w:p w14:paraId="294DC1CE" w14:textId="38BE3656" w:rsidR="007E15DB" w:rsidRPr="000918DF" w:rsidRDefault="000918DF" w:rsidP="00AC0E2C">
      <w:pPr>
        <w:pStyle w:val="ListBullet"/>
        <w:spacing w:after="120" w:line="252" w:lineRule="auto"/>
        <w:ind w:left="720" w:right="576"/>
        <w:jc w:val="both"/>
        <w:rPr>
          <w:rFonts w:asciiTheme="majorHAnsi" w:hAnsiTheme="majorHAnsi" w:cstheme="majorHAnsi"/>
          <w:sz w:val="22"/>
          <w:lang w:val="it-IT"/>
        </w:rPr>
      </w:pPr>
      <w:r w:rsidRPr="000918DF">
        <w:rPr>
          <w:rFonts w:asciiTheme="majorHAnsi" w:hAnsiTheme="majorHAnsi" w:cstheme="majorHAnsi"/>
          <w:sz w:val="22"/>
          <w:lang w:val="it-IT"/>
        </w:rPr>
        <w:t>rešavanje i odgovaranje na pritužbe</w:t>
      </w:r>
      <w:r w:rsidR="00811B0E" w:rsidRPr="000918DF">
        <w:rPr>
          <w:rFonts w:asciiTheme="majorHAnsi" w:hAnsiTheme="majorHAnsi" w:cstheme="majorHAnsi"/>
          <w:sz w:val="22"/>
          <w:lang w:val="it-IT"/>
        </w:rPr>
        <w:t xml:space="preserve">; </w:t>
      </w:r>
      <w:r w:rsidRPr="000918DF">
        <w:rPr>
          <w:rFonts w:asciiTheme="majorHAnsi" w:hAnsiTheme="majorHAnsi" w:cstheme="majorHAnsi"/>
          <w:sz w:val="22"/>
          <w:lang w:val="it-IT"/>
        </w:rPr>
        <w:t>i</w:t>
      </w:r>
    </w:p>
    <w:p w14:paraId="2710CB56" w14:textId="0F8A61E5" w:rsidR="007E15DB" w:rsidRPr="00386B69" w:rsidRDefault="000918DF"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izveštavanje zainteresovanih strana</w:t>
      </w:r>
      <w:r w:rsidR="00811B0E" w:rsidRPr="00386B69">
        <w:rPr>
          <w:rFonts w:asciiTheme="majorHAnsi" w:hAnsiTheme="majorHAnsi" w:cstheme="majorHAnsi"/>
          <w:sz w:val="22"/>
        </w:rPr>
        <w:t>.</w:t>
      </w:r>
    </w:p>
    <w:p w14:paraId="4A55715E" w14:textId="74463C34" w:rsidR="007E15DB" w:rsidRPr="00E06F27" w:rsidRDefault="00E06F27" w:rsidP="00AC0E2C">
      <w:pPr>
        <w:spacing w:after="120" w:line="252" w:lineRule="auto"/>
        <w:ind w:left="720" w:right="576"/>
        <w:jc w:val="both"/>
        <w:rPr>
          <w:rFonts w:asciiTheme="majorHAnsi" w:hAnsiTheme="majorHAnsi" w:cstheme="majorHAnsi"/>
          <w:sz w:val="22"/>
          <w:lang w:val="it-IT"/>
        </w:rPr>
      </w:pPr>
      <w:r w:rsidRPr="00E06F27">
        <w:rPr>
          <w:rFonts w:asciiTheme="majorHAnsi" w:hAnsiTheme="majorHAnsi" w:cstheme="majorHAnsi"/>
          <w:sz w:val="22"/>
          <w:lang w:val="it-IT"/>
        </w:rPr>
        <w:t>ESS10 takođe naglašava potrebu da se identifikuju ugroženi ili ranjivi pojedinci ili grupe i da se primene diferencirane mere kako bi se podržalo njihovo učešće i pristup informacijama.</w:t>
      </w:r>
    </w:p>
    <w:p w14:paraId="4AEAF5CB" w14:textId="7B83062F" w:rsidR="007E15DB" w:rsidRPr="00386B69" w:rsidRDefault="001D39E6" w:rsidP="00AC0E2C">
      <w:pPr>
        <w:pStyle w:val="Heading2"/>
        <w:numPr>
          <w:ilvl w:val="1"/>
          <w:numId w:val="12"/>
        </w:numPr>
        <w:spacing w:before="60" w:after="120"/>
        <w:ind w:left="720" w:right="576"/>
        <w:jc w:val="both"/>
        <w:rPr>
          <w:rFonts w:cstheme="majorHAnsi"/>
          <w:color w:val="auto"/>
          <w:sz w:val="22"/>
          <w:szCs w:val="22"/>
        </w:rPr>
      </w:pPr>
      <w:r>
        <w:rPr>
          <w:rFonts w:eastAsia="Arial" w:cstheme="majorHAnsi"/>
          <w:color w:val="auto"/>
          <w:sz w:val="22"/>
          <w:szCs w:val="22"/>
        </w:rPr>
        <w:t>Primena ESS10 za</w:t>
      </w:r>
      <w:r w:rsidR="00811B0E" w:rsidRPr="00386B69">
        <w:rPr>
          <w:rFonts w:eastAsia="Arial" w:cstheme="majorHAnsi"/>
          <w:color w:val="auto"/>
          <w:sz w:val="22"/>
          <w:szCs w:val="22"/>
        </w:rPr>
        <w:t xml:space="preserve"> SERVIS</w:t>
      </w:r>
    </w:p>
    <w:p w14:paraId="32E45400" w14:textId="685EDFB0" w:rsidR="007E15DB" w:rsidRPr="00386B69" w:rsidRDefault="001D39E6" w:rsidP="00222DC8">
      <w:pPr>
        <w:spacing w:after="120" w:line="252" w:lineRule="auto"/>
        <w:ind w:left="720" w:right="576"/>
        <w:rPr>
          <w:rFonts w:asciiTheme="majorHAnsi" w:hAnsiTheme="majorHAnsi" w:cstheme="majorHAnsi"/>
          <w:sz w:val="22"/>
        </w:rPr>
      </w:pPr>
      <w:r w:rsidRPr="001D39E6">
        <w:rPr>
          <w:rFonts w:asciiTheme="majorHAnsi" w:hAnsiTheme="majorHAnsi" w:cstheme="majorHAnsi"/>
          <w:sz w:val="22"/>
        </w:rPr>
        <w:t>Za SERVIS, ESS10 će se primenjivati na način koji je sr</w:t>
      </w:r>
      <w:r>
        <w:rPr>
          <w:rFonts w:asciiTheme="majorHAnsi" w:hAnsiTheme="majorHAnsi" w:cstheme="majorHAnsi"/>
          <w:sz w:val="22"/>
        </w:rPr>
        <w:t>azmeran niskom E&amp;S</w:t>
      </w:r>
      <w:r w:rsidRPr="001D39E6">
        <w:rPr>
          <w:rFonts w:asciiTheme="majorHAnsi" w:hAnsiTheme="majorHAnsi" w:cstheme="majorHAnsi"/>
          <w:sz w:val="22"/>
        </w:rPr>
        <w:t xml:space="preserve"> riziku projekta i njegovom digitalnom i institucional</w:t>
      </w:r>
      <w:r>
        <w:rPr>
          <w:rFonts w:asciiTheme="majorHAnsi" w:hAnsiTheme="majorHAnsi" w:cstheme="majorHAnsi"/>
          <w:sz w:val="22"/>
        </w:rPr>
        <w:t>nom fokusu. Stoga SEP</w:t>
      </w:r>
      <w:r w:rsidRPr="001D39E6">
        <w:rPr>
          <w:rFonts w:asciiTheme="majorHAnsi" w:hAnsiTheme="majorHAnsi" w:cstheme="majorHAnsi"/>
          <w:sz w:val="22"/>
        </w:rPr>
        <w:t xml:space="preserve"> naglašava</w:t>
      </w:r>
      <w:r w:rsidR="00811B0E" w:rsidRPr="00386B69">
        <w:rPr>
          <w:rFonts w:asciiTheme="majorHAnsi" w:hAnsiTheme="majorHAnsi" w:cstheme="majorHAnsi"/>
          <w:sz w:val="22"/>
        </w:rPr>
        <w:t>:</w:t>
      </w:r>
    </w:p>
    <w:p w14:paraId="7C774303" w14:textId="2EE7E713" w:rsidR="007E15DB" w:rsidRPr="00386B69" w:rsidRDefault="00F666F7" w:rsidP="00222DC8">
      <w:pPr>
        <w:pStyle w:val="ListBullet"/>
        <w:spacing w:after="120" w:line="252" w:lineRule="auto"/>
        <w:ind w:left="720" w:right="576"/>
        <w:rPr>
          <w:rFonts w:asciiTheme="majorHAnsi" w:hAnsiTheme="majorHAnsi" w:cstheme="majorHAnsi"/>
          <w:sz w:val="22"/>
        </w:rPr>
      </w:pPr>
      <w:r w:rsidRPr="00F666F7">
        <w:rPr>
          <w:rFonts w:asciiTheme="majorHAnsi" w:hAnsiTheme="majorHAnsi" w:cstheme="majorHAnsi"/>
          <w:sz w:val="22"/>
        </w:rPr>
        <w:t>jasno i pristupačno informisanje o digitalnim uslugama koje se podržavaju kroz projekat</w:t>
      </w:r>
      <w:r w:rsidR="00811B0E" w:rsidRPr="00386B69">
        <w:rPr>
          <w:rFonts w:asciiTheme="majorHAnsi" w:hAnsiTheme="majorHAnsi" w:cstheme="majorHAnsi"/>
          <w:sz w:val="22"/>
        </w:rPr>
        <w:t>;</w:t>
      </w:r>
    </w:p>
    <w:p w14:paraId="0652C114" w14:textId="72D25C70" w:rsidR="007E15DB" w:rsidRPr="00386B69" w:rsidRDefault="00D37BE1" w:rsidP="00222DC8">
      <w:pPr>
        <w:pStyle w:val="ListBullet"/>
        <w:spacing w:after="120" w:line="252" w:lineRule="auto"/>
        <w:ind w:left="720" w:right="576"/>
        <w:rPr>
          <w:rFonts w:asciiTheme="majorHAnsi" w:hAnsiTheme="majorHAnsi" w:cstheme="majorHAnsi"/>
          <w:sz w:val="22"/>
        </w:rPr>
      </w:pPr>
      <w:r w:rsidRPr="00D37BE1">
        <w:rPr>
          <w:rFonts w:asciiTheme="majorHAnsi" w:hAnsiTheme="majorHAnsi" w:cstheme="majorHAnsi"/>
          <w:sz w:val="22"/>
        </w:rPr>
        <w:t>konsultacije i prikupljanje povratnih informacija o usvajanju, upotrebljivosti, pristupačnosti i poverenju u Digitalni novčanik</w:t>
      </w:r>
      <w:r w:rsidR="00811B0E" w:rsidRPr="00386B69">
        <w:rPr>
          <w:rFonts w:asciiTheme="majorHAnsi" w:hAnsiTheme="majorHAnsi" w:cstheme="majorHAnsi"/>
          <w:sz w:val="22"/>
        </w:rPr>
        <w:t>;</w:t>
      </w:r>
    </w:p>
    <w:p w14:paraId="2FC5E0D4" w14:textId="3AE9E980" w:rsidR="007E15DB" w:rsidRPr="00386B69" w:rsidRDefault="00D37BE1" w:rsidP="00222DC8">
      <w:pPr>
        <w:pStyle w:val="ListBullet"/>
        <w:spacing w:after="120" w:line="252" w:lineRule="auto"/>
        <w:ind w:left="720" w:right="576"/>
        <w:rPr>
          <w:rFonts w:asciiTheme="majorHAnsi" w:hAnsiTheme="majorHAnsi" w:cstheme="majorHAnsi"/>
          <w:sz w:val="22"/>
        </w:rPr>
      </w:pPr>
      <w:r>
        <w:rPr>
          <w:rFonts w:asciiTheme="majorHAnsi" w:hAnsiTheme="majorHAnsi" w:cstheme="majorHAnsi"/>
          <w:sz w:val="22"/>
        </w:rPr>
        <w:t>c</w:t>
      </w:r>
      <w:r w:rsidRPr="00D37BE1">
        <w:rPr>
          <w:rFonts w:asciiTheme="majorHAnsi" w:hAnsiTheme="majorHAnsi" w:cstheme="majorHAnsi"/>
          <w:sz w:val="22"/>
        </w:rPr>
        <w:t>iljno uključivanje grupa koje mogu biti izložene digitalnoj isključenosti</w:t>
      </w:r>
      <w:r w:rsidR="00811B0E" w:rsidRPr="00386B69">
        <w:rPr>
          <w:rFonts w:asciiTheme="majorHAnsi" w:hAnsiTheme="majorHAnsi" w:cstheme="majorHAnsi"/>
          <w:sz w:val="22"/>
        </w:rPr>
        <w:t>;</w:t>
      </w:r>
    </w:p>
    <w:p w14:paraId="554EE035" w14:textId="7CDD8686" w:rsidR="007E15DB" w:rsidRPr="00386B69" w:rsidRDefault="001A3F5B" w:rsidP="00222DC8">
      <w:pPr>
        <w:pStyle w:val="ListBullet"/>
        <w:spacing w:after="120" w:line="252" w:lineRule="auto"/>
        <w:ind w:left="720" w:right="576"/>
        <w:rPr>
          <w:rFonts w:asciiTheme="majorHAnsi" w:hAnsiTheme="majorHAnsi" w:cstheme="majorHAnsi"/>
          <w:sz w:val="22"/>
        </w:rPr>
      </w:pPr>
      <w:r w:rsidRPr="001A3F5B">
        <w:rPr>
          <w:rFonts w:asciiTheme="majorHAnsi" w:hAnsiTheme="majorHAnsi" w:cstheme="majorHAnsi"/>
          <w:sz w:val="22"/>
        </w:rPr>
        <w:t>komunikaciju o privatnosti, zaštiti podataka, sajber bezbednosti i odgovornoj upotrebi usluga zasnovanih na veštačkoj inteligenciji</w:t>
      </w:r>
      <w:r w:rsidR="00811B0E" w:rsidRPr="00386B69">
        <w:rPr>
          <w:rFonts w:asciiTheme="majorHAnsi" w:hAnsiTheme="majorHAnsi" w:cstheme="majorHAnsi"/>
          <w:sz w:val="22"/>
        </w:rPr>
        <w:t>;</w:t>
      </w:r>
    </w:p>
    <w:p w14:paraId="4DFC3E20" w14:textId="4939B053" w:rsidR="007E15DB" w:rsidRPr="00386B69" w:rsidRDefault="001A3F5B" w:rsidP="00222DC8">
      <w:pPr>
        <w:pStyle w:val="ListBullet"/>
        <w:spacing w:after="120" w:line="252" w:lineRule="auto"/>
        <w:ind w:left="720" w:right="576"/>
        <w:rPr>
          <w:rFonts w:asciiTheme="majorHAnsi" w:hAnsiTheme="majorHAnsi" w:cstheme="majorHAnsi"/>
          <w:sz w:val="22"/>
        </w:rPr>
      </w:pPr>
      <w:r>
        <w:rPr>
          <w:rFonts w:asciiTheme="majorHAnsi" w:hAnsiTheme="majorHAnsi" w:cstheme="majorHAnsi"/>
          <w:sz w:val="22"/>
        </w:rPr>
        <w:t>u</w:t>
      </w:r>
      <w:r w:rsidRPr="001A3F5B">
        <w:rPr>
          <w:rFonts w:asciiTheme="majorHAnsi" w:hAnsiTheme="majorHAnsi" w:cstheme="majorHAnsi"/>
          <w:sz w:val="22"/>
        </w:rPr>
        <w:t>češće ključnih institucionalnih aktera u dizajnu i sprovođenju usluga</w:t>
      </w:r>
      <w:r w:rsidR="00811B0E" w:rsidRPr="00386B69">
        <w:rPr>
          <w:rFonts w:asciiTheme="majorHAnsi" w:hAnsiTheme="majorHAnsi" w:cstheme="majorHAnsi"/>
          <w:sz w:val="22"/>
        </w:rPr>
        <w:t>;</w:t>
      </w:r>
    </w:p>
    <w:p w14:paraId="60E8288A" w14:textId="79D73FD8" w:rsidR="007E15DB" w:rsidRPr="00386B69" w:rsidRDefault="005036CD" w:rsidP="00222DC8">
      <w:pPr>
        <w:pStyle w:val="ListBullet"/>
        <w:spacing w:after="120" w:line="252" w:lineRule="auto"/>
        <w:ind w:left="720" w:right="576"/>
        <w:rPr>
          <w:rFonts w:asciiTheme="majorHAnsi" w:hAnsiTheme="majorHAnsi" w:cstheme="majorHAnsi"/>
          <w:sz w:val="22"/>
        </w:rPr>
      </w:pPr>
      <w:r w:rsidRPr="005036CD">
        <w:rPr>
          <w:rFonts w:asciiTheme="majorHAnsi" w:hAnsiTheme="majorHAnsi" w:cstheme="majorHAnsi"/>
          <w:sz w:val="22"/>
        </w:rPr>
        <w:lastRenderedPageBreak/>
        <w:t>mehanizme povratnih informacija radi unapređenja digitalnih platformi i korisničkog iskustva</w:t>
      </w:r>
      <w:r w:rsidR="00811B0E" w:rsidRPr="00386B69">
        <w:rPr>
          <w:rFonts w:asciiTheme="majorHAnsi" w:hAnsiTheme="majorHAnsi" w:cstheme="majorHAnsi"/>
          <w:sz w:val="22"/>
        </w:rPr>
        <w:t xml:space="preserve">; </w:t>
      </w:r>
      <w:r>
        <w:rPr>
          <w:rFonts w:asciiTheme="majorHAnsi" w:hAnsiTheme="majorHAnsi" w:cstheme="majorHAnsi"/>
          <w:sz w:val="22"/>
        </w:rPr>
        <w:t>i</w:t>
      </w:r>
    </w:p>
    <w:p w14:paraId="45682AF2" w14:textId="6B11AEB1" w:rsidR="007E15DB" w:rsidRPr="00386B69" w:rsidRDefault="005036CD" w:rsidP="00222DC8">
      <w:pPr>
        <w:pStyle w:val="ListBullet"/>
        <w:spacing w:after="120" w:line="252" w:lineRule="auto"/>
        <w:ind w:left="720" w:right="576"/>
        <w:rPr>
          <w:rFonts w:asciiTheme="majorHAnsi" w:hAnsiTheme="majorHAnsi" w:cstheme="majorHAnsi"/>
          <w:sz w:val="22"/>
        </w:rPr>
      </w:pPr>
      <w:r>
        <w:rPr>
          <w:rFonts w:asciiTheme="majorHAnsi" w:hAnsiTheme="majorHAnsi" w:cstheme="majorHAnsi"/>
          <w:sz w:val="22"/>
        </w:rPr>
        <w:t>pristupačan i inkluzivan GRM</w:t>
      </w:r>
      <w:r w:rsidR="00811B0E" w:rsidRPr="00386B69">
        <w:rPr>
          <w:rFonts w:asciiTheme="majorHAnsi" w:hAnsiTheme="majorHAnsi" w:cstheme="majorHAnsi"/>
          <w:sz w:val="22"/>
        </w:rPr>
        <w:t>.</w:t>
      </w:r>
    </w:p>
    <w:p w14:paraId="48446692" w14:textId="0AF9E112" w:rsidR="007E15DB" w:rsidRPr="00386B69" w:rsidRDefault="007E15DB" w:rsidP="004962FD">
      <w:pPr>
        <w:ind w:right="576"/>
        <w:jc w:val="both"/>
        <w:rPr>
          <w:rFonts w:asciiTheme="majorHAnsi" w:hAnsiTheme="majorHAnsi" w:cstheme="majorHAnsi"/>
          <w:sz w:val="22"/>
        </w:rPr>
      </w:pPr>
    </w:p>
    <w:p w14:paraId="031FD505" w14:textId="26038A5F" w:rsidR="007E15DB" w:rsidRPr="00460259" w:rsidRDefault="00460259" w:rsidP="00611C08">
      <w:pPr>
        <w:pStyle w:val="ListParagraph"/>
        <w:numPr>
          <w:ilvl w:val="2"/>
          <w:numId w:val="20"/>
        </w:numPr>
        <w:ind w:right="576"/>
        <w:rPr>
          <w:rFonts w:asciiTheme="majorHAnsi" w:hAnsiTheme="majorHAnsi" w:cstheme="majorHAnsi"/>
          <w:b/>
          <w:bCs/>
          <w:sz w:val="22"/>
          <w:lang w:val="it-IT"/>
        </w:rPr>
      </w:pPr>
      <w:r w:rsidRPr="00460259">
        <w:rPr>
          <w:rFonts w:asciiTheme="majorHAnsi" w:hAnsiTheme="majorHAnsi" w:cstheme="majorHAnsi"/>
          <w:b/>
          <w:bCs/>
          <w:sz w:val="22"/>
          <w:lang w:val="it-IT"/>
        </w:rPr>
        <w:t>Sažetak angažovanja zainteresovanih strana tokom pripreme</w:t>
      </w:r>
    </w:p>
    <w:p w14:paraId="44F91A66" w14:textId="64A3E98D" w:rsidR="00C5449F" w:rsidRPr="00677E9A" w:rsidRDefault="00C5449F" w:rsidP="00C5449F">
      <w:pPr>
        <w:pStyle w:val="Heading3"/>
        <w:rPr>
          <w:rFonts w:ascii="Times New Roman" w:eastAsia="Times New Roman" w:hAnsi="Times New Roman"/>
          <w:color w:val="auto"/>
          <w:lang w:val="it-IT"/>
        </w:rPr>
      </w:pPr>
      <w:r w:rsidRPr="00677E9A">
        <w:rPr>
          <w:lang w:val="it-IT"/>
        </w:rPr>
        <w:t xml:space="preserve">3.1. </w:t>
      </w:r>
      <w:r w:rsidR="00460259" w:rsidRPr="00677E9A">
        <w:rPr>
          <w:color w:val="auto"/>
          <w:lang w:val="it-IT"/>
        </w:rPr>
        <w:t>Dosadašnje angažovanje</w:t>
      </w:r>
    </w:p>
    <w:p w14:paraId="23768AA1" w14:textId="4F103EB8" w:rsidR="00C5449F" w:rsidRPr="00677E9A" w:rsidRDefault="00677E9A" w:rsidP="00222DC8">
      <w:pPr>
        <w:pStyle w:val="NormalWeb"/>
        <w:jc w:val="both"/>
        <w:rPr>
          <w:lang w:val="it-IT"/>
        </w:rPr>
      </w:pPr>
      <w:r w:rsidRPr="00677E9A">
        <w:rPr>
          <w:lang w:val="it-IT"/>
        </w:rPr>
        <w:t>Tokom pripreme projekta, Svetska banka, OITEG, Jedinica za implementaciju projekta (PIU), relevantne institucije Vlade Republike Srbije, organizacije civilnog društva, akademska zajednica i odabrani akteri iz privatnog sektora bili su uključeni kroz konsultacije o obuhvatu projekta, aranžmanima implementacije, prioritetima digitalnih usluga, uvođenju Digitalnog novčanika, sajber bezbednosti, uslugama zasnovanim na veštačkoj inteligenciji, institucionalnim kapacitetima i projektnim rizicima. Priprema se takođe oslanja na tekuće aktivnosti u okviru EDGE inicijative, uključujući dokaz koncepta (proof of concept) za Digitalni novčanik, pravnu analizu i izradu plana implementacije.</w:t>
      </w:r>
      <w:r>
        <w:rPr>
          <w:lang w:val="it-IT"/>
        </w:rPr>
        <w:t xml:space="preserve"> </w:t>
      </w:r>
      <w:r w:rsidRPr="00677E9A">
        <w:rPr>
          <w:lang w:val="it-IT"/>
        </w:rPr>
        <w:t>Povratne informacije korisnika o kvalitetu, pristupačnosti i upotrebljivosti javnih usluga prikupljane su kroz konsultacije, uključujući testiranje sa korisnicima i testiranje pristupačnosti, kako bi se identifikovale potrebe u pružanju usluga i prepreke sa kojima se različite grupe korisnika suočavaju.</w:t>
      </w:r>
      <w:r>
        <w:rPr>
          <w:lang w:val="it-IT"/>
        </w:rPr>
        <w:t xml:space="preserve"> </w:t>
      </w:r>
      <w:r w:rsidRPr="00677E9A">
        <w:rPr>
          <w:lang w:val="it-IT"/>
        </w:rPr>
        <w:t>Tokom pripreme projekta, dodatno angažovanje sprovedeno je sa predstavnicima civilnog društva u okviru Nacionalnog saveta za veštačku inteligenciju.</w:t>
      </w:r>
    </w:p>
    <w:p w14:paraId="15B11895" w14:textId="5750347D" w:rsidR="00C5449F" w:rsidRPr="00990D67" w:rsidRDefault="00990D67" w:rsidP="00C5449F">
      <w:pPr>
        <w:pStyle w:val="Heading3"/>
        <w:rPr>
          <w:color w:val="000000" w:themeColor="text1"/>
          <w:lang w:val="it-IT"/>
        </w:rPr>
      </w:pPr>
      <w:r w:rsidRPr="00990D67">
        <w:rPr>
          <w:color w:val="000000" w:themeColor="text1"/>
          <w:lang w:val="it-IT"/>
        </w:rPr>
        <w:t>3.2. Ključna razmatrana pitanja</w:t>
      </w:r>
    </w:p>
    <w:p w14:paraId="4608DAA7" w14:textId="3337CDD8" w:rsidR="00C5449F" w:rsidRPr="00990D67" w:rsidRDefault="00990D67" w:rsidP="00C5449F">
      <w:pPr>
        <w:pStyle w:val="NormalWeb"/>
        <w:rPr>
          <w:lang w:val="it-IT"/>
        </w:rPr>
      </w:pPr>
      <w:r w:rsidRPr="00990D67">
        <w:rPr>
          <w:lang w:val="it-IT"/>
        </w:rPr>
        <w:t>Ključna pitanja razmatrana tokom pripreme uključivala su unapređenje upotrebljivosti, pristupačnosti i mobilne responzivnosti digitalnih javnih usluga, uključujući primenu dizajna usmerenog na korisnika i testiranje pristupačnosti; unapređenje digitalnog novčanika usklađenog sa EU i prioritetnih slučajeva upotrebe; jačanje sajber bezbednosti, zaštite podataka i poverenja u digitalne usluge; razvoj osnova za veštačku inteligenciju i podatke na srpskom jeziku; identifikovanje mogućnosti za administrativnu efikasnost uz pomoć veštačke inteligencije; jačanje institucionalnih i ekosistemskih kapaciteta među državnim službenicima, akademskom zajednicom, malim i</w:t>
      </w:r>
      <w:r>
        <w:rPr>
          <w:lang w:val="it-IT"/>
        </w:rPr>
        <w:t xml:space="preserve"> srednjim preduzećima, startapovim</w:t>
      </w:r>
      <w:r w:rsidRPr="00990D67">
        <w:rPr>
          <w:lang w:val="it-IT"/>
        </w:rPr>
        <w:t>a i civilnim društvom; kao i uspostavljanje mehanizama za komunikaciju projekta, uključivanje građana, povratne informacije i rešavanje pritužbi</w:t>
      </w:r>
      <w:r w:rsidR="00C5449F" w:rsidRPr="00990D67">
        <w:rPr>
          <w:lang w:val="it-IT"/>
        </w:rPr>
        <w:t>.</w:t>
      </w:r>
    </w:p>
    <w:p w14:paraId="5CB9204B" w14:textId="10F05BB1" w:rsidR="00C5449F" w:rsidRPr="00817DFB" w:rsidRDefault="00817DFB" w:rsidP="00C5449F">
      <w:pPr>
        <w:pStyle w:val="Heading3"/>
        <w:rPr>
          <w:lang w:val="it-IT"/>
        </w:rPr>
      </w:pPr>
      <w:r w:rsidRPr="00817DFB">
        <w:rPr>
          <w:lang w:val="it-IT"/>
        </w:rPr>
        <w:t>3.3. Planirano angažovanje pre procene projekta</w:t>
      </w:r>
    </w:p>
    <w:p w14:paraId="342B6886" w14:textId="65E8098E" w:rsidR="007E15DB" w:rsidRPr="00817DFB" w:rsidRDefault="00817DFB" w:rsidP="00817DFB">
      <w:pPr>
        <w:pStyle w:val="NormalWeb"/>
        <w:rPr>
          <w:lang w:val="it-IT"/>
        </w:rPr>
      </w:pPr>
      <w:r w:rsidRPr="00817DFB">
        <w:rPr>
          <w:lang w:val="it-IT"/>
        </w:rPr>
        <w:t xml:space="preserve">Pre procene, Zajmoprimac, putem OITEG-a i Jedinice za implementaciju projekta (PIU), nastaviće sa proporcionalnim uključivanjem zainteresovanih strana kako bi ih informisao o projektu, potvrdio prioritete i prikupio povratne informacije o dizajnu projekta i aranžmanima za uključivanje zainteresovanih strana. Ovo </w:t>
      </w:r>
      <w:r>
        <w:rPr>
          <w:lang w:val="it-IT"/>
        </w:rPr>
        <w:t>podrazumeva</w:t>
      </w:r>
      <w:r w:rsidRPr="00817DFB">
        <w:rPr>
          <w:lang w:val="it-IT"/>
        </w:rPr>
        <w:t xml:space="preserve"> konsultacije sa relevantnim državnim institucijama, resornim ministarstvima i agencijama uključenim u slučajeve upotrebe Digitalnog novčanika, regulatornim i nadzornim telima, organizacijama civilnog društva, akademskom zajednicom, organizacijama koje predstavljaju ranjive ili digitalno isključene grupe, akterima iz privatnog sektora, malim i srednjim preduzećima, startapovima, pružaocima rešenja zasnovanih na veštačkoj inteligenciji i akterima iz oblasti sajber bezbednosti. Relevantne informacije o projektu biće objavljene kroz odgovarajuće kanale, zajedno sa mogućnostima za komentare, povratne informacije i rešavanje pritužb</w:t>
      </w:r>
      <w:r w:rsidR="00BE5063">
        <w:rPr>
          <w:lang w:val="it-IT"/>
        </w:rPr>
        <w:t>i</w:t>
      </w:r>
      <w:r>
        <w:rPr>
          <w:lang w:val="it-IT"/>
        </w:rPr>
        <w:t>.</w:t>
      </w:r>
    </w:p>
    <w:p w14:paraId="00559BD9" w14:textId="6819075F" w:rsidR="007E15DB" w:rsidRPr="00817DFB" w:rsidRDefault="00817DFB" w:rsidP="00611C08">
      <w:pPr>
        <w:pStyle w:val="ListParagraph"/>
        <w:numPr>
          <w:ilvl w:val="2"/>
          <w:numId w:val="20"/>
        </w:numPr>
        <w:ind w:right="576"/>
        <w:rPr>
          <w:rFonts w:asciiTheme="majorHAnsi" w:hAnsiTheme="majorHAnsi" w:cstheme="majorHAnsi"/>
          <w:b/>
          <w:bCs/>
          <w:sz w:val="22"/>
          <w:lang w:val="it-IT"/>
        </w:rPr>
      </w:pPr>
      <w:r w:rsidRPr="00817DFB">
        <w:rPr>
          <w:rFonts w:asciiTheme="majorHAnsi" w:hAnsiTheme="majorHAnsi" w:cstheme="majorHAnsi"/>
          <w:b/>
          <w:bCs/>
          <w:sz w:val="22"/>
          <w:lang w:val="it-IT"/>
        </w:rPr>
        <w:t>Identifikacija i analiza zainteresovanih strana</w:t>
      </w:r>
    </w:p>
    <w:p w14:paraId="6F488C07" w14:textId="01B29DA1" w:rsidR="007E15DB" w:rsidRPr="00386B69" w:rsidRDefault="00817DFB" w:rsidP="00AC0E2C">
      <w:pPr>
        <w:pStyle w:val="Heading2"/>
        <w:numPr>
          <w:ilvl w:val="1"/>
          <w:numId w:val="17"/>
        </w:numPr>
        <w:spacing w:before="60" w:after="120"/>
        <w:ind w:left="720" w:right="576"/>
        <w:jc w:val="both"/>
        <w:rPr>
          <w:rFonts w:cstheme="majorHAnsi"/>
          <w:color w:val="auto"/>
          <w:sz w:val="22"/>
          <w:szCs w:val="22"/>
        </w:rPr>
      </w:pPr>
      <w:r>
        <w:rPr>
          <w:rFonts w:eastAsia="Arial" w:cstheme="majorHAnsi"/>
          <w:color w:val="auto"/>
          <w:sz w:val="22"/>
          <w:szCs w:val="22"/>
        </w:rPr>
        <w:lastRenderedPageBreak/>
        <w:t>Metodologija</w:t>
      </w:r>
    </w:p>
    <w:p w14:paraId="4D30CB39" w14:textId="209C2AA5" w:rsidR="007E15DB" w:rsidRPr="00386B69" w:rsidRDefault="00817DFB" w:rsidP="00AC0E2C">
      <w:pPr>
        <w:spacing w:after="120" w:line="252" w:lineRule="auto"/>
        <w:ind w:left="720" w:right="576"/>
        <w:jc w:val="both"/>
        <w:rPr>
          <w:rFonts w:asciiTheme="majorHAnsi" w:hAnsiTheme="majorHAnsi" w:cstheme="majorHAnsi"/>
          <w:sz w:val="22"/>
        </w:rPr>
      </w:pPr>
      <w:r w:rsidRPr="00817DFB">
        <w:rPr>
          <w:rFonts w:asciiTheme="majorHAnsi" w:hAnsiTheme="majorHAnsi" w:cstheme="majorHAnsi"/>
          <w:sz w:val="22"/>
        </w:rPr>
        <w:t>Zainteresovane strane su identifikovane na osnovu prirode projekta, očekivanih korisnika, institucija uključenih u sprovođenje, kao i potencijalnih rizika u vezi sa digitalnom inkluzijom, pristupom, privatnošću, sajber bezbednošću, uslugama zasnovanim na veštačkoj inteligenciji i poverenjem javnosti</w:t>
      </w:r>
      <w:r w:rsidR="00811B0E" w:rsidRPr="00386B69">
        <w:rPr>
          <w:rFonts w:asciiTheme="majorHAnsi" w:hAnsiTheme="majorHAnsi" w:cstheme="majorHAnsi"/>
          <w:sz w:val="22"/>
        </w:rPr>
        <w:t>.</w:t>
      </w:r>
    </w:p>
    <w:p w14:paraId="63F13A79" w14:textId="1010F18E" w:rsidR="007E15DB" w:rsidRPr="00817DFB" w:rsidRDefault="00817DFB" w:rsidP="00AC0E2C">
      <w:pPr>
        <w:spacing w:after="120" w:line="252" w:lineRule="auto"/>
        <w:ind w:left="720" w:right="576"/>
        <w:jc w:val="both"/>
        <w:rPr>
          <w:rFonts w:asciiTheme="majorHAnsi" w:hAnsiTheme="majorHAnsi" w:cstheme="majorHAnsi"/>
          <w:sz w:val="22"/>
          <w:lang w:val="it-IT"/>
        </w:rPr>
      </w:pPr>
      <w:r w:rsidRPr="00817DFB">
        <w:rPr>
          <w:rFonts w:asciiTheme="majorHAnsi" w:hAnsiTheme="majorHAnsi" w:cstheme="majorHAnsi"/>
          <w:sz w:val="22"/>
          <w:lang w:val="it-IT"/>
        </w:rPr>
        <w:t>U skladu sa ESS10, zainteresovane strane su grupisane u</w:t>
      </w:r>
      <w:r w:rsidR="00811B0E" w:rsidRPr="00817DFB">
        <w:rPr>
          <w:rFonts w:asciiTheme="majorHAnsi" w:hAnsiTheme="majorHAnsi" w:cstheme="majorHAnsi"/>
          <w:sz w:val="22"/>
          <w:lang w:val="it-IT"/>
        </w:rPr>
        <w:t>:</w:t>
      </w:r>
    </w:p>
    <w:p w14:paraId="385D1BF5" w14:textId="7E5E6BFA" w:rsidR="007E15DB" w:rsidRPr="00817DFB" w:rsidRDefault="00506FC2" w:rsidP="00AC0E2C">
      <w:pPr>
        <w:pStyle w:val="ListBullet"/>
        <w:spacing w:after="120" w:line="252" w:lineRule="auto"/>
        <w:ind w:left="720" w:right="576"/>
        <w:jc w:val="both"/>
        <w:rPr>
          <w:rFonts w:asciiTheme="majorHAnsi" w:hAnsiTheme="majorHAnsi" w:cstheme="majorHAnsi"/>
          <w:sz w:val="22"/>
          <w:lang w:val="it-IT"/>
        </w:rPr>
      </w:pPr>
      <w:r w:rsidRPr="00506FC2">
        <w:rPr>
          <w:rFonts w:asciiTheme="majorHAnsi" w:hAnsiTheme="majorHAnsi" w:cstheme="majorHAnsi"/>
          <w:bCs/>
          <w:sz w:val="22"/>
          <w:lang w:val="it-IT"/>
        </w:rPr>
        <w:t>s</w:t>
      </w:r>
      <w:r w:rsidR="00817DFB" w:rsidRPr="00506FC2">
        <w:rPr>
          <w:rFonts w:asciiTheme="majorHAnsi" w:hAnsiTheme="majorHAnsi" w:cstheme="majorHAnsi"/>
          <w:bCs/>
          <w:sz w:val="22"/>
          <w:lang w:val="it-IT"/>
        </w:rPr>
        <w:t>trane</w:t>
      </w:r>
      <w:r w:rsidRPr="00506FC2">
        <w:rPr>
          <w:rFonts w:asciiTheme="majorHAnsi" w:hAnsiTheme="majorHAnsi" w:cstheme="majorHAnsi"/>
          <w:bCs/>
          <w:sz w:val="22"/>
          <w:lang w:val="it-IT"/>
        </w:rPr>
        <w:t xml:space="preserve"> pogođene projektom</w:t>
      </w:r>
      <w:r w:rsidR="00817DFB" w:rsidRPr="00817DFB">
        <w:rPr>
          <w:rFonts w:asciiTheme="majorHAnsi" w:hAnsiTheme="majorHAnsi" w:cstheme="majorHAnsi"/>
          <w:sz w:val="22"/>
          <w:lang w:val="it-IT"/>
        </w:rPr>
        <w:t>: pojedinci, grupe i institucije koje mogu biti direktno pogođene projektnim aktivnostima ili od njih imati koristi</w:t>
      </w:r>
      <w:r w:rsidR="00811B0E" w:rsidRPr="00817DFB">
        <w:rPr>
          <w:rFonts w:asciiTheme="majorHAnsi" w:hAnsiTheme="majorHAnsi" w:cstheme="majorHAnsi"/>
          <w:sz w:val="22"/>
          <w:lang w:val="it-IT"/>
        </w:rPr>
        <w:t>;</w:t>
      </w:r>
    </w:p>
    <w:p w14:paraId="67066456" w14:textId="43F1CB4E" w:rsidR="007E15DB" w:rsidRPr="00506FC2" w:rsidRDefault="00506FC2" w:rsidP="00AC0E2C">
      <w:pPr>
        <w:pStyle w:val="ListBullet"/>
        <w:spacing w:after="120" w:line="252" w:lineRule="auto"/>
        <w:ind w:left="720" w:right="576"/>
        <w:jc w:val="both"/>
        <w:rPr>
          <w:rFonts w:asciiTheme="majorHAnsi" w:hAnsiTheme="majorHAnsi" w:cstheme="majorHAnsi"/>
          <w:sz w:val="22"/>
          <w:lang w:val="it-IT"/>
        </w:rPr>
      </w:pPr>
      <w:r w:rsidRPr="00506FC2">
        <w:rPr>
          <w:rFonts w:asciiTheme="majorHAnsi" w:hAnsiTheme="majorHAnsi" w:cstheme="majorHAnsi"/>
          <w:bCs/>
          <w:sz w:val="22"/>
          <w:lang w:val="it-IT"/>
        </w:rPr>
        <w:t>druge zainteresovane strane</w:t>
      </w:r>
      <w:r w:rsidRPr="00506FC2">
        <w:rPr>
          <w:rFonts w:asciiTheme="majorHAnsi" w:hAnsiTheme="majorHAnsi" w:cstheme="majorHAnsi"/>
          <w:sz w:val="22"/>
          <w:lang w:val="it-IT"/>
        </w:rPr>
        <w:t>: institucije, organizacije ili pojedinci koji imaju interes u projektu ili mogućnost da utiču na njegovu implementaciju</w:t>
      </w:r>
      <w:r w:rsidR="00811B0E" w:rsidRPr="00506FC2">
        <w:rPr>
          <w:rFonts w:asciiTheme="majorHAnsi" w:hAnsiTheme="majorHAnsi" w:cstheme="majorHAnsi"/>
          <w:sz w:val="22"/>
          <w:lang w:val="it-IT"/>
        </w:rPr>
        <w:t xml:space="preserve">; </w:t>
      </w:r>
      <w:r>
        <w:rPr>
          <w:rFonts w:asciiTheme="majorHAnsi" w:hAnsiTheme="majorHAnsi" w:cstheme="majorHAnsi"/>
          <w:sz w:val="22"/>
          <w:lang w:val="it-IT"/>
        </w:rPr>
        <w:t>i</w:t>
      </w:r>
    </w:p>
    <w:p w14:paraId="7B442B61" w14:textId="031C7ED8" w:rsidR="007E15DB" w:rsidRPr="00506FC2" w:rsidRDefault="00506FC2" w:rsidP="00AC0E2C">
      <w:pPr>
        <w:pStyle w:val="ListBullet"/>
        <w:spacing w:after="120" w:line="252" w:lineRule="auto"/>
        <w:ind w:left="720" w:right="576"/>
        <w:jc w:val="both"/>
        <w:rPr>
          <w:rFonts w:asciiTheme="majorHAnsi" w:hAnsiTheme="majorHAnsi" w:cstheme="majorHAnsi"/>
          <w:sz w:val="22"/>
          <w:lang w:val="it-IT"/>
        </w:rPr>
      </w:pPr>
      <w:r w:rsidRPr="00506FC2">
        <w:rPr>
          <w:rFonts w:asciiTheme="majorHAnsi" w:hAnsiTheme="majorHAnsi" w:cstheme="majorHAnsi"/>
          <w:bCs/>
          <w:sz w:val="22"/>
          <w:lang w:val="it-IT"/>
        </w:rPr>
        <w:t>ugroženi ili ranjivi pojedinci ili grupe</w:t>
      </w:r>
      <w:r w:rsidRPr="00506FC2">
        <w:rPr>
          <w:rFonts w:asciiTheme="majorHAnsi" w:hAnsiTheme="majorHAnsi" w:cstheme="majorHAnsi"/>
          <w:sz w:val="22"/>
          <w:lang w:val="it-IT"/>
        </w:rPr>
        <w:t>: zainteresovane strane koje mogu imati prepreke u pristupu projektnim koristima ili učešću u aktivnostima uključivanja</w:t>
      </w:r>
      <w:r w:rsidR="00811B0E" w:rsidRPr="00506FC2">
        <w:rPr>
          <w:rFonts w:asciiTheme="majorHAnsi" w:hAnsiTheme="majorHAnsi" w:cstheme="majorHAnsi"/>
          <w:sz w:val="22"/>
          <w:lang w:val="it-IT"/>
        </w:rPr>
        <w:t>.</w:t>
      </w:r>
    </w:p>
    <w:p w14:paraId="014116E9" w14:textId="138710DA" w:rsidR="007E15DB" w:rsidRPr="00506FC2" w:rsidRDefault="00506FC2" w:rsidP="00AC0E2C">
      <w:pPr>
        <w:spacing w:after="120" w:line="252" w:lineRule="auto"/>
        <w:ind w:left="720" w:right="576"/>
        <w:jc w:val="both"/>
        <w:rPr>
          <w:rFonts w:asciiTheme="majorHAnsi" w:hAnsiTheme="majorHAnsi" w:cstheme="majorHAnsi"/>
          <w:sz w:val="22"/>
          <w:lang w:val="it-IT"/>
        </w:rPr>
      </w:pPr>
      <w:r w:rsidRPr="00506FC2">
        <w:rPr>
          <w:rFonts w:asciiTheme="majorHAnsi" w:hAnsiTheme="majorHAnsi" w:cstheme="majorHAnsi"/>
          <w:sz w:val="22"/>
          <w:lang w:val="it-IT"/>
        </w:rPr>
        <w:t>Spisak zainteresovanih strana biće revidiran i ažuriran tokom implementacije, kako se projektne aktivnosti budu detaljnije razvijale i kako se budu identifikovale nove zainteresovane strane</w:t>
      </w:r>
      <w:r w:rsidR="00811B0E" w:rsidRPr="00506FC2">
        <w:rPr>
          <w:rFonts w:asciiTheme="majorHAnsi" w:hAnsiTheme="majorHAnsi" w:cstheme="majorHAnsi"/>
          <w:sz w:val="22"/>
          <w:lang w:val="it-IT"/>
        </w:rPr>
        <w:t>.</w:t>
      </w:r>
    </w:p>
    <w:p w14:paraId="3918A710" w14:textId="20ED1D88" w:rsidR="007E15DB" w:rsidRPr="00386B69" w:rsidRDefault="00572094" w:rsidP="00AC0E2C">
      <w:pPr>
        <w:pStyle w:val="Heading2"/>
        <w:numPr>
          <w:ilvl w:val="1"/>
          <w:numId w:val="17"/>
        </w:numPr>
        <w:spacing w:before="60" w:after="120"/>
        <w:ind w:left="720" w:right="576"/>
        <w:jc w:val="both"/>
        <w:rPr>
          <w:rFonts w:cstheme="majorHAnsi"/>
          <w:color w:val="auto"/>
          <w:sz w:val="22"/>
          <w:szCs w:val="22"/>
        </w:rPr>
      </w:pPr>
      <w:r>
        <w:rPr>
          <w:rFonts w:eastAsia="Arial" w:cstheme="majorHAnsi"/>
          <w:color w:val="auto"/>
          <w:sz w:val="22"/>
          <w:szCs w:val="22"/>
        </w:rPr>
        <w:t>Strane pogođene projektom</w:t>
      </w:r>
    </w:p>
    <w:p w14:paraId="01CDD00F" w14:textId="0D2C5B4E" w:rsidR="007E15DB" w:rsidRPr="00386B69" w:rsidRDefault="00572094" w:rsidP="00AC0E2C">
      <w:pPr>
        <w:spacing w:after="120" w:line="252" w:lineRule="auto"/>
        <w:ind w:left="720" w:right="576"/>
        <w:jc w:val="both"/>
        <w:rPr>
          <w:rFonts w:asciiTheme="majorHAnsi" w:hAnsiTheme="majorHAnsi" w:cstheme="majorHAnsi"/>
          <w:sz w:val="22"/>
        </w:rPr>
      </w:pPr>
      <w:r w:rsidRPr="00572094">
        <w:rPr>
          <w:rFonts w:asciiTheme="majorHAnsi" w:hAnsiTheme="majorHAnsi" w:cstheme="majorHAnsi"/>
          <w:sz w:val="22"/>
        </w:rPr>
        <w:t>Strane pogođene projektom za SERVIS uključuju pojedince, grupe i institucije koje mogu direktno imati koristi od ili biti pogođene projektnim digitalnim uslugama, platformama, obukama ili institucionalnim reformama. One uključuju</w:t>
      </w:r>
      <w:r w:rsidR="005D6FBE">
        <w:rPr>
          <w:rFonts w:asciiTheme="majorHAnsi" w:hAnsiTheme="majorHAnsi" w:cstheme="majorHAnsi"/>
          <w:sz w:val="22"/>
        </w:rPr>
        <w:t>:</w:t>
      </w:r>
    </w:p>
    <w:p w14:paraId="4FB373B7" w14:textId="6818C5A8" w:rsidR="007E15DB" w:rsidRPr="00386B69" w:rsidRDefault="00462344" w:rsidP="00AC0E2C">
      <w:pPr>
        <w:pStyle w:val="ListBullet"/>
        <w:spacing w:after="120" w:line="252" w:lineRule="auto"/>
        <w:ind w:left="720" w:right="576"/>
        <w:jc w:val="both"/>
        <w:rPr>
          <w:rFonts w:asciiTheme="majorHAnsi" w:hAnsiTheme="majorHAnsi" w:cstheme="majorHAnsi"/>
          <w:sz w:val="22"/>
        </w:rPr>
      </w:pPr>
      <w:r w:rsidRPr="00462344">
        <w:rPr>
          <w:rFonts w:asciiTheme="majorHAnsi" w:hAnsiTheme="majorHAnsi" w:cstheme="majorHAnsi"/>
          <w:sz w:val="22"/>
        </w:rPr>
        <w:t>građane i stanovnike koji koriste digitalne javne usluge podržane projektom</w:t>
      </w:r>
      <w:r w:rsidR="00811B0E" w:rsidRPr="00386B69">
        <w:rPr>
          <w:rFonts w:asciiTheme="majorHAnsi" w:hAnsiTheme="majorHAnsi" w:cstheme="majorHAnsi"/>
          <w:sz w:val="22"/>
        </w:rPr>
        <w:t>;</w:t>
      </w:r>
    </w:p>
    <w:p w14:paraId="326B0A07" w14:textId="16A2B8C0" w:rsidR="007E15DB" w:rsidRPr="00386B69" w:rsidRDefault="00462344" w:rsidP="00AC0E2C">
      <w:pPr>
        <w:pStyle w:val="ListBullet"/>
        <w:spacing w:after="120" w:line="252" w:lineRule="auto"/>
        <w:ind w:left="720" w:right="576"/>
        <w:jc w:val="both"/>
        <w:rPr>
          <w:rFonts w:asciiTheme="majorHAnsi" w:hAnsiTheme="majorHAnsi" w:cstheme="majorHAnsi"/>
          <w:sz w:val="22"/>
        </w:rPr>
      </w:pPr>
      <w:r w:rsidRPr="00462344">
        <w:rPr>
          <w:rFonts w:asciiTheme="majorHAnsi" w:hAnsiTheme="majorHAnsi" w:cstheme="majorHAnsi"/>
          <w:sz w:val="22"/>
        </w:rPr>
        <w:t>sadašnje i potencijalne korisnike Digitalnog novčanika</w:t>
      </w:r>
      <w:r w:rsidR="00811B0E" w:rsidRPr="00386B69">
        <w:rPr>
          <w:rFonts w:asciiTheme="majorHAnsi" w:hAnsiTheme="majorHAnsi" w:cstheme="majorHAnsi"/>
          <w:sz w:val="22"/>
        </w:rPr>
        <w:t>;</w:t>
      </w:r>
    </w:p>
    <w:p w14:paraId="0E3DD15E" w14:textId="584C1B41" w:rsidR="007E15DB" w:rsidRDefault="00462344" w:rsidP="00462344">
      <w:pPr>
        <w:pStyle w:val="ListBullet"/>
        <w:spacing w:after="120" w:line="252" w:lineRule="auto"/>
        <w:ind w:left="720" w:right="576"/>
        <w:jc w:val="both"/>
        <w:rPr>
          <w:rFonts w:asciiTheme="majorHAnsi" w:hAnsiTheme="majorHAnsi" w:cstheme="majorHAnsi"/>
          <w:sz w:val="22"/>
        </w:rPr>
      </w:pPr>
      <w:r w:rsidRPr="00462344">
        <w:rPr>
          <w:rFonts w:asciiTheme="majorHAnsi" w:hAnsiTheme="majorHAnsi" w:cstheme="majorHAnsi"/>
          <w:sz w:val="22"/>
        </w:rPr>
        <w:t>korisnike izabranih slučajeva upotrebe Digitalnog novčanika, uključujući vozače koji koriste usluge mobilne vozačke dozvole, strane državljane k</w:t>
      </w:r>
      <w:r w:rsidR="00BE5063">
        <w:rPr>
          <w:rFonts w:asciiTheme="majorHAnsi" w:hAnsiTheme="majorHAnsi" w:cstheme="majorHAnsi"/>
          <w:sz w:val="22"/>
        </w:rPr>
        <w:t>oji koriste usluge registracije</w:t>
      </w:r>
      <w:r w:rsidRPr="00462344">
        <w:rPr>
          <w:rFonts w:asciiTheme="majorHAnsi" w:hAnsiTheme="majorHAnsi" w:cstheme="majorHAnsi"/>
          <w:sz w:val="22"/>
        </w:rPr>
        <w:t xml:space="preserve"> i pacijente koji koriste usluge zakazivanja zdravstvenih pregleda</w:t>
      </w:r>
      <w:r w:rsidR="00811B0E" w:rsidRPr="00386B69">
        <w:rPr>
          <w:rFonts w:asciiTheme="majorHAnsi" w:hAnsiTheme="majorHAnsi" w:cstheme="majorHAnsi"/>
          <w:sz w:val="22"/>
        </w:rPr>
        <w:t>;</w:t>
      </w:r>
    </w:p>
    <w:p w14:paraId="0A424283" w14:textId="71F62361" w:rsidR="00462344" w:rsidRPr="00462344" w:rsidRDefault="00462344" w:rsidP="00462344">
      <w:pPr>
        <w:pStyle w:val="ListBullet"/>
        <w:spacing w:after="120" w:line="252" w:lineRule="auto"/>
        <w:ind w:left="720" w:right="576"/>
        <w:jc w:val="both"/>
        <w:rPr>
          <w:rFonts w:asciiTheme="majorHAnsi" w:hAnsiTheme="majorHAnsi" w:cstheme="majorHAnsi"/>
          <w:sz w:val="22"/>
          <w:lang w:val="it-IT"/>
        </w:rPr>
      </w:pPr>
      <w:r w:rsidRPr="00462344">
        <w:rPr>
          <w:rFonts w:asciiTheme="majorHAnsi" w:hAnsiTheme="majorHAnsi" w:cstheme="majorHAnsi"/>
          <w:sz w:val="22"/>
          <w:lang w:val="it-IT"/>
        </w:rPr>
        <w:t xml:space="preserve">građane i preduzeća </w:t>
      </w:r>
      <w:r>
        <w:rPr>
          <w:rFonts w:asciiTheme="majorHAnsi" w:hAnsiTheme="majorHAnsi" w:cstheme="majorHAnsi"/>
          <w:sz w:val="22"/>
          <w:lang w:val="it-IT"/>
        </w:rPr>
        <w:t>koji koriste unapređene ili nove</w:t>
      </w:r>
      <w:r w:rsidRPr="00462344">
        <w:rPr>
          <w:rFonts w:asciiTheme="majorHAnsi" w:hAnsiTheme="majorHAnsi" w:cstheme="majorHAnsi"/>
          <w:sz w:val="22"/>
          <w:lang w:val="it-IT"/>
        </w:rPr>
        <w:t xml:space="preserve"> digitalizovane usluge</w:t>
      </w:r>
      <w:r>
        <w:rPr>
          <w:rFonts w:asciiTheme="majorHAnsi" w:hAnsiTheme="majorHAnsi" w:cstheme="majorHAnsi"/>
          <w:sz w:val="22"/>
          <w:lang w:val="it-IT"/>
        </w:rPr>
        <w:t>;</w:t>
      </w:r>
    </w:p>
    <w:p w14:paraId="7495C1B6" w14:textId="3E9FE49D" w:rsidR="007E15DB" w:rsidRPr="00462344" w:rsidRDefault="00462344" w:rsidP="00AC0E2C">
      <w:pPr>
        <w:pStyle w:val="ListBullet"/>
        <w:spacing w:after="120" w:line="252" w:lineRule="auto"/>
        <w:ind w:left="720" w:right="576"/>
        <w:jc w:val="both"/>
        <w:rPr>
          <w:rFonts w:asciiTheme="majorHAnsi" w:hAnsiTheme="majorHAnsi" w:cstheme="majorHAnsi"/>
          <w:sz w:val="22"/>
          <w:lang w:val="it-IT"/>
        </w:rPr>
      </w:pPr>
      <w:r w:rsidRPr="00462344">
        <w:rPr>
          <w:rFonts w:asciiTheme="majorHAnsi" w:hAnsiTheme="majorHAnsi" w:cstheme="majorHAnsi"/>
          <w:sz w:val="22"/>
          <w:lang w:val="it-IT"/>
        </w:rPr>
        <w:t>državne službenike i zaposlene u javnom sektoru na koje utiču reorganizacija procesa, digitalizacija, automatizacija zasnovana na veštačkoj inteligenciji i aktivnosti izgradnje kapaciteta</w:t>
      </w:r>
      <w:r w:rsidR="00811B0E" w:rsidRPr="00462344">
        <w:rPr>
          <w:rFonts w:asciiTheme="majorHAnsi" w:hAnsiTheme="majorHAnsi" w:cstheme="majorHAnsi"/>
          <w:sz w:val="22"/>
          <w:lang w:val="it-IT"/>
        </w:rPr>
        <w:t>;</w:t>
      </w:r>
    </w:p>
    <w:p w14:paraId="303556A8" w14:textId="63056B69" w:rsidR="007E15DB" w:rsidRPr="00AC730D" w:rsidRDefault="00AC730D" w:rsidP="00AC0E2C">
      <w:pPr>
        <w:pStyle w:val="ListBullet"/>
        <w:spacing w:after="120" w:line="252" w:lineRule="auto"/>
        <w:ind w:left="720" w:right="576"/>
        <w:jc w:val="both"/>
        <w:rPr>
          <w:rFonts w:asciiTheme="majorHAnsi" w:hAnsiTheme="majorHAnsi" w:cstheme="majorHAnsi"/>
          <w:sz w:val="22"/>
          <w:lang w:val="it-IT"/>
        </w:rPr>
      </w:pPr>
      <w:r w:rsidRPr="00AC730D">
        <w:rPr>
          <w:rFonts w:asciiTheme="majorHAnsi" w:hAnsiTheme="majorHAnsi" w:cstheme="majorHAnsi"/>
          <w:sz w:val="22"/>
          <w:lang w:val="it-IT"/>
        </w:rPr>
        <w:t>polaznike obuka koji učestvuju u programima sajber bezbednosti, veštačke inteligencije, digitalnih veština ili GovTech obuka</w:t>
      </w:r>
      <w:r w:rsidR="00811B0E" w:rsidRPr="00AC730D">
        <w:rPr>
          <w:rFonts w:asciiTheme="majorHAnsi" w:hAnsiTheme="majorHAnsi" w:cstheme="majorHAnsi"/>
          <w:sz w:val="22"/>
          <w:lang w:val="it-IT"/>
        </w:rPr>
        <w:t>;</w:t>
      </w:r>
    </w:p>
    <w:p w14:paraId="094A4878" w14:textId="3586D57F" w:rsidR="007E15DB" w:rsidRPr="00AC730D" w:rsidRDefault="00AC730D" w:rsidP="00AC0E2C">
      <w:pPr>
        <w:pStyle w:val="ListBullet"/>
        <w:spacing w:after="120" w:line="252" w:lineRule="auto"/>
        <w:ind w:left="720" w:right="576"/>
        <w:jc w:val="both"/>
        <w:rPr>
          <w:rFonts w:asciiTheme="majorHAnsi" w:hAnsiTheme="majorHAnsi" w:cstheme="majorHAnsi"/>
          <w:sz w:val="22"/>
          <w:lang w:val="it-IT"/>
        </w:rPr>
      </w:pPr>
      <w:r w:rsidRPr="00AC730D">
        <w:rPr>
          <w:rFonts w:asciiTheme="majorHAnsi" w:hAnsiTheme="majorHAnsi" w:cstheme="majorHAnsi"/>
          <w:sz w:val="22"/>
          <w:lang w:val="it-IT"/>
        </w:rPr>
        <w:t>ma</w:t>
      </w:r>
      <w:r w:rsidR="002A25A3">
        <w:rPr>
          <w:rFonts w:asciiTheme="majorHAnsi" w:hAnsiTheme="majorHAnsi" w:cstheme="majorHAnsi"/>
          <w:sz w:val="22"/>
          <w:lang w:val="it-IT"/>
        </w:rPr>
        <w:t>la i srednja preduzeća, startapove</w:t>
      </w:r>
      <w:r w:rsidRPr="00AC730D">
        <w:rPr>
          <w:rFonts w:asciiTheme="majorHAnsi" w:hAnsiTheme="majorHAnsi" w:cstheme="majorHAnsi"/>
          <w:sz w:val="22"/>
          <w:lang w:val="it-IT"/>
        </w:rPr>
        <w:t xml:space="preserve"> i GovTech pružaoce usluga koji učestvuju u projektnim aktivnostima, AI klinikama, aktivnostima digitalnog tržišta javnih nabavki ili programima podrške inovacijama</w:t>
      </w:r>
      <w:r w:rsidR="00811B0E" w:rsidRPr="00AC730D">
        <w:rPr>
          <w:rFonts w:asciiTheme="majorHAnsi" w:hAnsiTheme="majorHAnsi" w:cstheme="majorHAnsi"/>
          <w:sz w:val="22"/>
          <w:lang w:val="it-IT"/>
        </w:rPr>
        <w:t>;</w:t>
      </w:r>
    </w:p>
    <w:p w14:paraId="01CAEA7B" w14:textId="68081929" w:rsidR="007E15DB" w:rsidRPr="005D6FBE" w:rsidRDefault="005D6FBE" w:rsidP="00AC0E2C">
      <w:pPr>
        <w:pStyle w:val="ListBullet"/>
        <w:spacing w:after="120" w:line="252" w:lineRule="auto"/>
        <w:ind w:left="720" w:right="576"/>
        <w:jc w:val="both"/>
        <w:rPr>
          <w:rFonts w:asciiTheme="majorHAnsi" w:hAnsiTheme="majorHAnsi" w:cstheme="majorHAnsi"/>
          <w:sz w:val="22"/>
          <w:lang w:val="it-IT"/>
        </w:rPr>
      </w:pPr>
      <w:r w:rsidRPr="005D6FBE">
        <w:rPr>
          <w:rFonts w:asciiTheme="majorHAnsi" w:hAnsiTheme="majorHAnsi" w:cstheme="majorHAnsi"/>
          <w:sz w:val="22"/>
          <w:lang w:val="it-IT"/>
        </w:rPr>
        <w:t>privatne subjekte koji deluju kao poverene stra</w:t>
      </w:r>
      <w:r w:rsidR="00BE5063">
        <w:rPr>
          <w:rFonts w:asciiTheme="majorHAnsi" w:hAnsiTheme="majorHAnsi" w:cstheme="majorHAnsi"/>
          <w:sz w:val="22"/>
          <w:lang w:val="it-IT"/>
        </w:rPr>
        <w:t>ne za Digitalni novčanik, ukoliko je potrebno</w:t>
      </w:r>
      <w:r w:rsidR="00811B0E" w:rsidRPr="005D6FBE">
        <w:rPr>
          <w:rFonts w:asciiTheme="majorHAnsi" w:hAnsiTheme="majorHAnsi" w:cstheme="majorHAnsi"/>
          <w:sz w:val="22"/>
          <w:lang w:val="it-IT"/>
        </w:rPr>
        <w:t xml:space="preserve">; </w:t>
      </w:r>
      <w:r>
        <w:rPr>
          <w:rFonts w:asciiTheme="majorHAnsi" w:hAnsiTheme="majorHAnsi" w:cstheme="majorHAnsi"/>
          <w:sz w:val="22"/>
          <w:lang w:val="it-IT"/>
        </w:rPr>
        <w:t>i</w:t>
      </w:r>
    </w:p>
    <w:p w14:paraId="60921DB7" w14:textId="462B7F3F" w:rsidR="007E15DB" w:rsidRPr="005D6FBE" w:rsidRDefault="005D6FBE"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k</w:t>
      </w:r>
      <w:r w:rsidRPr="005D6FBE">
        <w:rPr>
          <w:rFonts w:asciiTheme="majorHAnsi" w:hAnsiTheme="majorHAnsi" w:cstheme="majorHAnsi"/>
          <w:sz w:val="22"/>
          <w:lang w:val="it-IT"/>
        </w:rPr>
        <w:t>orisnike kojima može biti potrebna podrška, mehanizam za žalbe ili pojašnjenje u vezi sa digi</w:t>
      </w:r>
      <w:r>
        <w:rPr>
          <w:rFonts w:asciiTheme="majorHAnsi" w:hAnsiTheme="majorHAnsi" w:cstheme="majorHAnsi"/>
          <w:sz w:val="22"/>
          <w:lang w:val="it-IT"/>
        </w:rPr>
        <w:t>talnim javnim uslugama podržanih</w:t>
      </w:r>
      <w:r w:rsidRPr="005D6FBE">
        <w:rPr>
          <w:rFonts w:asciiTheme="majorHAnsi" w:hAnsiTheme="majorHAnsi" w:cstheme="majorHAnsi"/>
          <w:sz w:val="22"/>
          <w:lang w:val="it-IT"/>
        </w:rPr>
        <w:t xml:space="preserve"> projekto</w:t>
      </w:r>
      <w:r>
        <w:rPr>
          <w:rFonts w:asciiTheme="majorHAnsi" w:hAnsiTheme="majorHAnsi" w:cstheme="majorHAnsi"/>
          <w:sz w:val="22"/>
          <w:lang w:val="it-IT"/>
        </w:rPr>
        <w:t>m</w:t>
      </w:r>
      <w:r w:rsidR="00811B0E" w:rsidRPr="005D6FBE">
        <w:rPr>
          <w:rFonts w:asciiTheme="majorHAnsi" w:hAnsiTheme="majorHAnsi" w:cstheme="majorHAnsi"/>
          <w:sz w:val="22"/>
          <w:lang w:val="it-IT"/>
        </w:rPr>
        <w:t>.</w:t>
      </w:r>
    </w:p>
    <w:p w14:paraId="608AD5B0" w14:textId="579AF4A6" w:rsidR="007E15DB" w:rsidRPr="00386B69" w:rsidRDefault="00DC6A57" w:rsidP="00AC0E2C">
      <w:pPr>
        <w:pStyle w:val="Heading2"/>
        <w:numPr>
          <w:ilvl w:val="1"/>
          <w:numId w:val="17"/>
        </w:numPr>
        <w:spacing w:before="60" w:after="120"/>
        <w:ind w:left="720" w:right="576"/>
        <w:jc w:val="both"/>
        <w:rPr>
          <w:rFonts w:cstheme="majorHAnsi"/>
          <w:color w:val="auto"/>
          <w:sz w:val="22"/>
          <w:szCs w:val="22"/>
        </w:rPr>
      </w:pPr>
      <w:r>
        <w:rPr>
          <w:rFonts w:eastAsia="Arial" w:cstheme="majorHAnsi"/>
          <w:color w:val="auto"/>
          <w:sz w:val="22"/>
          <w:szCs w:val="22"/>
        </w:rPr>
        <w:t>Druge zainteresovane strane</w:t>
      </w:r>
    </w:p>
    <w:p w14:paraId="4934BA79" w14:textId="5AD10CF7" w:rsidR="007E15DB" w:rsidRPr="00386B69" w:rsidRDefault="00CF0945" w:rsidP="00AC0E2C">
      <w:pPr>
        <w:spacing w:after="120" w:line="252" w:lineRule="auto"/>
        <w:ind w:left="720" w:right="576"/>
        <w:jc w:val="both"/>
        <w:rPr>
          <w:rFonts w:asciiTheme="majorHAnsi" w:hAnsiTheme="majorHAnsi" w:cstheme="majorHAnsi"/>
          <w:sz w:val="22"/>
        </w:rPr>
      </w:pPr>
      <w:r w:rsidRPr="00CF0945">
        <w:rPr>
          <w:rFonts w:asciiTheme="majorHAnsi" w:hAnsiTheme="majorHAnsi" w:cstheme="majorHAnsi"/>
          <w:sz w:val="22"/>
        </w:rPr>
        <w:t xml:space="preserve">Druge zainteresovane strane uključuju institucije i organizacije koje mogu uticati na sprovođenje projekta, vršiti nadzor ili imati </w:t>
      </w:r>
      <w:r>
        <w:rPr>
          <w:rFonts w:asciiTheme="majorHAnsi" w:hAnsiTheme="majorHAnsi" w:cstheme="majorHAnsi"/>
          <w:sz w:val="22"/>
        </w:rPr>
        <w:t>interes u ishodima projekta. To su</w:t>
      </w:r>
      <w:r w:rsidR="00811B0E" w:rsidRPr="00386B69">
        <w:rPr>
          <w:rFonts w:asciiTheme="majorHAnsi" w:hAnsiTheme="majorHAnsi" w:cstheme="majorHAnsi"/>
          <w:sz w:val="22"/>
        </w:rPr>
        <w:t>:</w:t>
      </w:r>
    </w:p>
    <w:p w14:paraId="06E27F44" w14:textId="66DFFA64"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 xml:space="preserve">OITEG, </w:t>
      </w:r>
      <w:r w:rsidR="00CF0945">
        <w:rPr>
          <w:rFonts w:asciiTheme="majorHAnsi" w:hAnsiTheme="majorHAnsi" w:cstheme="majorHAnsi"/>
          <w:sz w:val="22"/>
        </w:rPr>
        <w:t>kao agencija za implementaciju</w:t>
      </w:r>
      <w:r w:rsidRPr="00386B69">
        <w:rPr>
          <w:rFonts w:asciiTheme="majorHAnsi" w:hAnsiTheme="majorHAnsi" w:cstheme="majorHAnsi"/>
          <w:sz w:val="22"/>
        </w:rPr>
        <w:t>;</w:t>
      </w:r>
    </w:p>
    <w:p w14:paraId="3A38F5DF" w14:textId="51D2AD6B" w:rsidR="007E15DB" w:rsidRPr="00386B69" w:rsidRDefault="00CF0945"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Jedinica</w:t>
      </w:r>
      <w:r w:rsidRPr="00CF0945">
        <w:rPr>
          <w:rFonts w:asciiTheme="majorHAnsi" w:hAnsiTheme="majorHAnsi" w:cstheme="majorHAnsi"/>
          <w:sz w:val="22"/>
        </w:rPr>
        <w:t xml:space="preserve"> za implementaciju projekta (PIU), uključujući kadrove za fiducijarne poslove, tehničke aspekte, zaštitu životne sredine i socijalna pitanja, komunikacije i praćenje i evaluaciju</w:t>
      </w:r>
      <w:r w:rsidR="00811B0E" w:rsidRPr="00386B69">
        <w:rPr>
          <w:rFonts w:asciiTheme="majorHAnsi" w:hAnsiTheme="majorHAnsi" w:cstheme="majorHAnsi"/>
          <w:sz w:val="22"/>
        </w:rPr>
        <w:t>;</w:t>
      </w:r>
    </w:p>
    <w:p w14:paraId="363D3F42" w14:textId="186557A7" w:rsidR="007E15DB" w:rsidRPr="00386B69" w:rsidRDefault="00CF0945"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Ministarstvo finansija</w:t>
      </w:r>
      <w:r w:rsidR="00811B0E" w:rsidRPr="00386B69">
        <w:rPr>
          <w:rFonts w:asciiTheme="majorHAnsi" w:hAnsiTheme="majorHAnsi" w:cstheme="majorHAnsi"/>
          <w:sz w:val="22"/>
        </w:rPr>
        <w:t>;</w:t>
      </w:r>
    </w:p>
    <w:p w14:paraId="66B0993F" w14:textId="27DCC7F9" w:rsidR="007E15DB" w:rsidRPr="00386B69" w:rsidRDefault="00BE5063"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Ministarstvo unutraš</w:t>
      </w:r>
      <w:r w:rsidR="00CF0945">
        <w:rPr>
          <w:rFonts w:asciiTheme="majorHAnsi" w:hAnsiTheme="majorHAnsi" w:cstheme="majorHAnsi"/>
          <w:sz w:val="22"/>
        </w:rPr>
        <w:t>njih poslova</w:t>
      </w:r>
      <w:r w:rsidR="00811B0E" w:rsidRPr="00386B69">
        <w:rPr>
          <w:rFonts w:asciiTheme="majorHAnsi" w:hAnsiTheme="majorHAnsi" w:cstheme="majorHAnsi"/>
          <w:sz w:val="22"/>
        </w:rPr>
        <w:t>;</w:t>
      </w:r>
    </w:p>
    <w:p w14:paraId="1FF3F0A9" w14:textId="645887B9" w:rsidR="007E15DB" w:rsidRPr="00E201AE" w:rsidRDefault="00BE5063" w:rsidP="00AC0E2C">
      <w:pPr>
        <w:pStyle w:val="ListBullet"/>
        <w:spacing w:after="120" w:line="252" w:lineRule="auto"/>
        <w:ind w:left="720" w:right="576"/>
        <w:jc w:val="both"/>
        <w:rPr>
          <w:rFonts w:asciiTheme="majorHAnsi" w:hAnsiTheme="majorHAnsi" w:cstheme="majorHAnsi"/>
          <w:sz w:val="22"/>
          <w:lang w:val="it-IT"/>
        </w:rPr>
      </w:pPr>
      <w:r w:rsidRPr="00E201AE">
        <w:rPr>
          <w:rFonts w:asciiTheme="majorHAnsi" w:hAnsiTheme="majorHAnsi" w:cstheme="majorHAnsi"/>
          <w:sz w:val="22"/>
          <w:lang w:val="it-IT"/>
        </w:rPr>
        <w:t>Republički fond z</w:t>
      </w:r>
      <w:r w:rsidR="00CF0945" w:rsidRPr="00E201AE">
        <w:rPr>
          <w:rFonts w:asciiTheme="majorHAnsi" w:hAnsiTheme="majorHAnsi" w:cstheme="majorHAnsi"/>
          <w:sz w:val="22"/>
          <w:lang w:val="it-IT"/>
        </w:rPr>
        <w:t>a</w:t>
      </w:r>
      <w:r w:rsidRPr="00E201AE">
        <w:rPr>
          <w:rFonts w:asciiTheme="majorHAnsi" w:hAnsiTheme="majorHAnsi" w:cstheme="majorHAnsi"/>
          <w:sz w:val="22"/>
          <w:lang w:val="it-IT"/>
        </w:rPr>
        <w:t xml:space="preserve"> z</w:t>
      </w:r>
      <w:r w:rsidR="00CF0945" w:rsidRPr="00E201AE">
        <w:rPr>
          <w:rFonts w:asciiTheme="majorHAnsi" w:hAnsiTheme="majorHAnsi" w:cstheme="majorHAnsi"/>
          <w:sz w:val="22"/>
          <w:lang w:val="it-IT"/>
        </w:rPr>
        <w:t>dravstveno osiguranje</w:t>
      </w:r>
      <w:r w:rsidR="00811B0E" w:rsidRPr="00E201AE">
        <w:rPr>
          <w:rFonts w:asciiTheme="majorHAnsi" w:hAnsiTheme="majorHAnsi" w:cstheme="majorHAnsi"/>
          <w:sz w:val="22"/>
          <w:lang w:val="it-IT"/>
        </w:rPr>
        <w:t>;</w:t>
      </w:r>
    </w:p>
    <w:p w14:paraId="6C645703" w14:textId="500A8E72" w:rsidR="007E15DB" w:rsidRPr="00386B69" w:rsidRDefault="00CF0945"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Ministarstvo informisanja i telekomunikacija</w:t>
      </w:r>
      <w:r w:rsidR="00811B0E" w:rsidRPr="00386B69">
        <w:rPr>
          <w:rFonts w:asciiTheme="majorHAnsi" w:hAnsiTheme="majorHAnsi" w:cstheme="majorHAnsi"/>
          <w:sz w:val="22"/>
        </w:rPr>
        <w:t>;</w:t>
      </w:r>
    </w:p>
    <w:p w14:paraId="606B0333" w14:textId="77777777" w:rsidR="007E15DB" w:rsidRPr="00386B69" w:rsidRDefault="00811B0E" w:rsidP="00AC0E2C">
      <w:pPr>
        <w:pStyle w:val="ListBullet"/>
        <w:spacing w:after="120" w:line="252" w:lineRule="auto"/>
        <w:ind w:left="720" w:right="576"/>
        <w:jc w:val="both"/>
        <w:rPr>
          <w:rFonts w:asciiTheme="majorHAnsi" w:hAnsiTheme="majorHAnsi" w:cstheme="majorHAnsi"/>
          <w:sz w:val="22"/>
        </w:rPr>
      </w:pPr>
      <w:r w:rsidRPr="00386B69">
        <w:rPr>
          <w:rFonts w:asciiTheme="majorHAnsi" w:hAnsiTheme="majorHAnsi" w:cstheme="majorHAnsi"/>
          <w:sz w:val="22"/>
        </w:rPr>
        <w:t>RATEL;</w:t>
      </w:r>
    </w:p>
    <w:p w14:paraId="0466B823" w14:textId="7F15F27A" w:rsidR="007E15DB" w:rsidRPr="00CF0945" w:rsidRDefault="00CF0945"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Poverenik</w:t>
      </w:r>
      <w:r w:rsidRPr="00CF0945">
        <w:rPr>
          <w:rFonts w:asciiTheme="majorHAnsi" w:hAnsiTheme="majorHAnsi" w:cstheme="majorHAnsi"/>
          <w:sz w:val="22"/>
          <w:lang w:val="it-IT"/>
        </w:rPr>
        <w:t xml:space="preserve"> za informacije od javnog značaja i zaštitu podataka o ličnosti</w:t>
      </w:r>
      <w:r w:rsidR="00811B0E" w:rsidRPr="00CF0945">
        <w:rPr>
          <w:rFonts w:asciiTheme="majorHAnsi" w:hAnsiTheme="majorHAnsi" w:cstheme="majorHAnsi"/>
          <w:sz w:val="22"/>
          <w:lang w:val="it-IT"/>
        </w:rPr>
        <w:t>;</w:t>
      </w:r>
    </w:p>
    <w:p w14:paraId="73B2CCCF" w14:textId="3A9207A8" w:rsidR="007E15DB" w:rsidRPr="00CF0945" w:rsidRDefault="00CF0945" w:rsidP="00AC0E2C">
      <w:pPr>
        <w:pStyle w:val="ListBullet"/>
        <w:spacing w:after="120" w:line="252" w:lineRule="auto"/>
        <w:ind w:left="720" w:right="576"/>
        <w:jc w:val="both"/>
        <w:rPr>
          <w:rFonts w:asciiTheme="majorHAnsi" w:hAnsiTheme="majorHAnsi" w:cstheme="majorHAnsi"/>
          <w:sz w:val="22"/>
          <w:lang w:val="it-IT"/>
        </w:rPr>
      </w:pPr>
      <w:r w:rsidRPr="00CF0945">
        <w:rPr>
          <w:rFonts w:asciiTheme="majorHAnsi" w:hAnsiTheme="majorHAnsi" w:cstheme="majorHAnsi"/>
          <w:sz w:val="22"/>
          <w:lang w:val="it-IT"/>
        </w:rPr>
        <w:lastRenderedPageBreak/>
        <w:t>druga resorna ministarstva i javne institucije čije usluge, registri ili platforme mogu biti integrisani ili pogođeni projektom</w:t>
      </w:r>
      <w:r w:rsidR="00811B0E" w:rsidRPr="00CF0945">
        <w:rPr>
          <w:rFonts w:asciiTheme="majorHAnsi" w:hAnsiTheme="majorHAnsi" w:cstheme="majorHAnsi"/>
          <w:sz w:val="22"/>
          <w:lang w:val="it-IT"/>
        </w:rPr>
        <w:t>;</w:t>
      </w:r>
    </w:p>
    <w:p w14:paraId="2D6826F3" w14:textId="0D1C5D91" w:rsidR="007E15DB" w:rsidRPr="00CF0945" w:rsidRDefault="00CF0945"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j</w:t>
      </w:r>
      <w:r w:rsidRPr="00CF0945">
        <w:rPr>
          <w:rFonts w:asciiTheme="majorHAnsi" w:hAnsiTheme="majorHAnsi" w:cstheme="majorHAnsi"/>
          <w:sz w:val="22"/>
          <w:lang w:val="it-IT"/>
        </w:rPr>
        <w:t xml:space="preserve">edinice lokalne samouprave, </w:t>
      </w:r>
      <w:r>
        <w:rPr>
          <w:rFonts w:asciiTheme="majorHAnsi" w:hAnsiTheme="majorHAnsi" w:cstheme="majorHAnsi"/>
          <w:sz w:val="22"/>
          <w:lang w:val="it-IT"/>
        </w:rPr>
        <w:t>koje su relevantne</w:t>
      </w:r>
      <w:r w:rsidRPr="00CF0945">
        <w:rPr>
          <w:rFonts w:asciiTheme="majorHAnsi" w:hAnsiTheme="majorHAnsi" w:cstheme="majorHAnsi"/>
          <w:sz w:val="22"/>
          <w:lang w:val="it-IT"/>
        </w:rPr>
        <w:t xml:space="preserve"> za pružanje usluga, informisanje korisnika ili korisničku podršku</w:t>
      </w:r>
      <w:r w:rsidR="00811B0E" w:rsidRPr="00CF0945">
        <w:rPr>
          <w:rFonts w:asciiTheme="majorHAnsi" w:hAnsiTheme="majorHAnsi" w:cstheme="majorHAnsi"/>
          <w:sz w:val="22"/>
          <w:lang w:val="it-IT"/>
        </w:rPr>
        <w:t>;</w:t>
      </w:r>
    </w:p>
    <w:p w14:paraId="0FAAF499" w14:textId="4972CD01" w:rsidR="007E15DB" w:rsidRPr="00CF0945" w:rsidRDefault="00CF0945" w:rsidP="00AC0E2C">
      <w:pPr>
        <w:pStyle w:val="ListBullet"/>
        <w:spacing w:after="120" w:line="252" w:lineRule="auto"/>
        <w:ind w:left="720" w:right="576"/>
        <w:jc w:val="both"/>
        <w:rPr>
          <w:rFonts w:asciiTheme="majorHAnsi" w:hAnsiTheme="majorHAnsi" w:cstheme="majorHAnsi"/>
          <w:sz w:val="22"/>
          <w:lang w:val="it-IT"/>
        </w:rPr>
      </w:pPr>
      <w:r w:rsidRPr="00CF0945">
        <w:rPr>
          <w:rFonts w:asciiTheme="majorHAnsi" w:hAnsiTheme="majorHAnsi" w:cstheme="majorHAnsi"/>
          <w:sz w:val="22"/>
          <w:lang w:val="it-IT"/>
        </w:rPr>
        <w:t>a</w:t>
      </w:r>
      <w:r>
        <w:rPr>
          <w:rFonts w:asciiTheme="majorHAnsi" w:hAnsiTheme="majorHAnsi" w:cstheme="majorHAnsi"/>
          <w:sz w:val="22"/>
          <w:lang w:val="it-IT"/>
        </w:rPr>
        <w:t>kademska zajednica, univerziteti,</w:t>
      </w:r>
      <w:r w:rsidRPr="00CF0945">
        <w:rPr>
          <w:rFonts w:asciiTheme="majorHAnsi" w:hAnsiTheme="majorHAnsi" w:cstheme="majorHAnsi"/>
          <w:sz w:val="22"/>
          <w:lang w:val="it-IT"/>
        </w:rPr>
        <w:t xml:space="preserve"> ustanove tehničkog i stru</w:t>
      </w:r>
      <w:r>
        <w:rPr>
          <w:rFonts w:asciiTheme="majorHAnsi" w:hAnsiTheme="majorHAnsi" w:cstheme="majorHAnsi"/>
          <w:sz w:val="22"/>
          <w:lang w:val="it-IT"/>
        </w:rPr>
        <w:t xml:space="preserve">čnog obrazovanja i obuke </w:t>
      </w:r>
      <w:r w:rsidRPr="00CF0945">
        <w:rPr>
          <w:rFonts w:asciiTheme="majorHAnsi" w:hAnsiTheme="majorHAnsi" w:cstheme="majorHAnsi"/>
          <w:sz w:val="22"/>
          <w:lang w:val="it-IT"/>
        </w:rPr>
        <w:t>i istraživačke institucije</w:t>
      </w:r>
      <w:r w:rsidR="00811B0E" w:rsidRPr="00CF0945">
        <w:rPr>
          <w:rFonts w:asciiTheme="majorHAnsi" w:hAnsiTheme="majorHAnsi" w:cstheme="majorHAnsi"/>
          <w:sz w:val="22"/>
          <w:lang w:val="it-IT"/>
        </w:rPr>
        <w:t>;</w:t>
      </w:r>
    </w:p>
    <w:p w14:paraId="2C764D87" w14:textId="62528692" w:rsidR="007E15DB" w:rsidRPr="00F6659B" w:rsidRDefault="00F6659B"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pružaoci</w:t>
      </w:r>
      <w:r w:rsidRPr="00F6659B">
        <w:rPr>
          <w:rFonts w:asciiTheme="majorHAnsi" w:hAnsiTheme="majorHAnsi" w:cstheme="majorHAnsi"/>
          <w:sz w:val="22"/>
          <w:lang w:val="it-IT"/>
        </w:rPr>
        <w:t xml:space="preserve"> usluga iz oblasti veštačke inteligencije, kompanije za sajber bezbednost, tehnološke kompanije, mala i srednja preduzeća, starta</w:t>
      </w:r>
      <w:r>
        <w:rPr>
          <w:rFonts w:asciiTheme="majorHAnsi" w:hAnsiTheme="majorHAnsi" w:cstheme="majorHAnsi"/>
          <w:sz w:val="22"/>
          <w:lang w:val="it-IT"/>
        </w:rPr>
        <w:t>povi i GovTech pružaoci</w:t>
      </w:r>
      <w:r w:rsidRPr="00F6659B">
        <w:rPr>
          <w:rFonts w:asciiTheme="majorHAnsi" w:hAnsiTheme="majorHAnsi" w:cstheme="majorHAnsi"/>
          <w:sz w:val="22"/>
          <w:lang w:val="it-IT"/>
        </w:rPr>
        <w:t xml:space="preserve"> usluga</w:t>
      </w:r>
      <w:r w:rsidR="00811B0E" w:rsidRPr="00F6659B">
        <w:rPr>
          <w:rFonts w:asciiTheme="majorHAnsi" w:hAnsiTheme="majorHAnsi" w:cstheme="majorHAnsi"/>
          <w:sz w:val="22"/>
          <w:lang w:val="it-IT"/>
        </w:rPr>
        <w:t>;</w:t>
      </w:r>
    </w:p>
    <w:p w14:paraId="5188F382" w14:textId="6AE628C1" w:rsidR="007E15DB" w:rsidRPr="001D17BD" w:rsidRDefault="00F6659B" w:rsidP="00AC0E2C">
      <w:pPr>
        <w:pStyle w:val="ListBullet"/>
        <w:spacing w:after="120" w:line="252" w:lineRule="auto"/>
        <w:ind w:left="720" w:right="576"/>
        <w:jc w:val="both"/>
        <w:rPr>
          <w:rFonts w:asciiTheme="majorHAnsi" w:hAnsiTheme="majorHAnsi" w:cstheme="majorHAnsi"/>
          <w:sz w:val="22"/>
          <w:lang w:val="it-IT"/>
        </w:rPr>
      </w:pPr>
      <w:r w:rsidRPr="001D17BD">
        <w:rPr>
          <w:rFonts w:asciiTheme="majorHAnsi" w:hAnsiTheme="majorHAnsi" w:cstheme="majorHAnsi"/>
          <w:sz w:val="22"/>
          <w:lang w:val="it-IT"/>
        </w:rPr>
        <w:t>poslovna udruženja i privredne komore</w:t>
      </w:r>
      <w:r w:rsidR="00811B0E" w:rsidRPr="001D17BD">
        <w:rPr>
          <w:rFonts w:asciiTheme="majorHAnsi" w:hAnsiTheme="majorHAnsi" w:cstheme="majorHAnsi"/>
          <w:sz w:val="22"/>
          <w:lang w:val="it-IT"/>
        </w:rPr>
        <w:t>;</w:t>
      </w:r>
    </w:p>
    <w:p w14:paraId="0DF2964D" w14:textId="1FC6AAED" w:rsidR="007E15DB" w:rsidRPr="001D17BD" w:rsidRDefault="001D17BD" w:rsidP="00AC0E2C">
      <w:pPr>
        <w:pStyle w:val="ListBullet"/>
        <w:spacing w:after="120" w:line="252" w:lineRule="auto"/>
        <w:ind w:left="720" w:right="576"/>
        <w:jc w:val="both"/>
        <w:rPr>
          <w:rFonts w:asciiTheme="majorHAnsi" w:hAnsiTheme="majorHAnsi" w:cstheme="majorHAnsi"/>
          <w:sz w:val="22"/>
          <w:lang w:val="it-IT"/>
        </w:rPr>
      </w:pPr>
      <w:r w:rsidRPr="001D17BD">
        <w:rPr>
          <w:rFonts w:asciiTheme="majorHAnsi" w:hAnsiTheme="majorHAnsi" w:cstheme="majorHAnsi"/>
          <w:sz w:val="22"/>
          <w:lang w:val="it-IT"/>
        </w:rPr>
        <w:t>organizacije civilnog društva, uključujući organizacije koje se bave digitalnim pravima, zaštitom potrošača, pristupačnošću, rodnom ravnopravnošću, mladima, inkluzijom Roma, ruralnim razvojem i zaštitom ranjivih grupa</w:t>
      </w:r>
      <w:r w:rsidR="00811B0E" w:rsidRPr="001D17BD">
        <w:rPr>
          <w:rFonts w:asciiTheme="majorHAnsi" w:hAnsiTheme="majorHAnsi" w:cstheme="majorHAnsi"/>
          <w:sz w:val="22"/>
          <w:lang w:val="it-IT"/>
        </w:rPr>
        <w:t>;</w:t>
      </w:r>
    </w:p>
    <w:p w14:paraId="2E7CB3CF" w14:textId="4BA5E2F3" w:rsidR="007E15DB" w:rsidRPr="001D17BD" w:rsidRDefault="001D17BD" w:rsidP="00AC0E2C">
      <w:pPr>
        <w:pStyle w:val="ListBullet"/>
        <w:spacing w:after="120" w:line="252" w:lineRule="auto"/>
        <w:ind w:left="720" w:right="576"/>
        <w:jc w:val="both"/>
        <w:rPr>
          <w:rFonts w:asciiTheme="majorHAnsi" w:hAnsiTheme="majorHAnsi" w:cstheme="majorHAnsi"/>
          <w:sz w:val="22"/>
          <w:lang w:val="it-IT"/>
        </w:rPr>
      </w:pPr>
      <w:r w:rsidRPr="001D17BD">
        <w:rPr>
          <w:rFonts w:asciiTheme="majorHAnsi" w:hAnsiTheme="majorHAnsi" w:cstheme="majorHAnsi"/>
          <w:sz w:val="22"/>
          <w:lang w:val="it-IT"/>
        </w:rPr>
        <w:t>organizacije koje predstavljaju osobe sa invaliditetom</w:t>
      </w:r>
      <w:r w:rsidR="00811B0E" w:rsidRPr="001D17BD">
        <w:rPr>
          <w:rFonts w:asciiTheme="majorHAnsi" w:hAnsiTheme="majorHAnsi" w:cstheme="majorHAnsi"/>
          <w:sz w:val="22"/>
          <w:lang w:val="it-IT"/>
        </w:rPr>
        <w:t>;</w:t>
      </w:r>
    </w:p>
    <w:p w14:paraId="010AC9A5" w14:textId="1C84CE7B" w:rsidR="007E15DB" w:rsidRPr="00386B69" w:rsidRDefault="00E201AE"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mediji i š</w:t>
      </w:r>
      <w:r w:rsidR="001D17BD">
        <w:rPr>
          <w:rFonts w:asciiTheme="majorHAnsi" w:hAnsiTheme="majorHAnsi" w:cstheme="majorHAnsi"/>
          <w:sz w:val="22"/>
        </w:rPr>
        <w:t>ira javnost</w:t>
      </w:r>
      <w:r w:rsidR="00811B0E" w:rsidRPr="00386B69">
        <w:rPr>
          <w:rFonts w:asciiTheme="majorHAnsi" w:hAnsiTheme="majorHAnsi" w:cstheme="majorHAnsi"/>
          <w:sz w:val="22"/>
        </w:rPr>
        <w:t>;</w:t>
      </w:r>
    </w:p>
    <w:p w14:paraId="15E67052" w14:textId="152E0B00" w:rsidR="007E15DB" w:rsidRPr="00386B69" w:rsidRDefault="00B85AE4"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razvojni partneri</w:t>
      </w:r>
      <w:r w:rsidRPr="00B85AE4">
        <w:rPr>
          <w:rFonts w:asciiTheme="majorHAnsi" w:hAnsiTheme="majorHAnsi" w:cstheme="majorHAnsi"/>
          <w:sz w:val="22"/>
        </w:rPr>
        <w:t xml:space="preserve"> i međunarodne organizacije aktivne u oblastima digitalne uprave, sajber bezbednosti, veštačke inteligencije, reforme javne uprave ili inkluzij</w:t>
      </w:r>
      <w:r w:rsidR="00E201AE">
        <w:rPr>
          <w:rFonts w:asciiTheme="majorHAnsi" w:hAnsiTheme="majorHAnsi" w:cstheme="majorHAnsi"/>
          <w:sz w:val="22"/>
        </w:rPr>
        <w:t>e</w:t>
      </w:r>
      <w:r w:rsidR="00811B0E" w:rsidRPr="00386B69">
        <w:rPr>
          <w:rFonts w:asciiTheme="majorHAnsi" w:hAnsiTheme="majorHAnsi" w:cstheme="majorHAnsi"/>
          <w:sz w:val="22"/>
        </w:rPr>
        <w:t xml:space="preserve">; </w:t>
      </w:r>
      <w:r>
        <w:rPr>
          <w:rFonts w:asciiTheme="majorHAnsi" w:hAnsiTheme="majorHAnsi" w:cstheme="majorHAnsi"/>
          <w:sz w:val="22"/>
        </w:rPr>
        <w:t>i</w:t>
      </w:r>
    </w:p>
    <w:p w14:paraId="446FC82A" w14:textId="0D52FC19" w:rsidR="007E15DB" w:rsidRPr="00386B69" w:rsidRDefault="00B85AE4"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Svetska banka</w:t>
      </w:r>
      <w:r w:rsidR="00811B0E" w:rsidRPr="00386B69">
        <w:rPr>
          <w:rFonts w:asciiTheme="majorHAnsi" w:hAnsiTheme="majorHAnsi" w:cstheme="majorHAnsi"/>
          <w:sz w:val="22"/>
        </w:rPr>
        <w:t>.</w:t>
      </w:r>
    </w:p>
    <w:p w14:paraId="0F5ED874" w14:textId="1F277A9C" w:rsidR="007E15DB" w:rsidRPr="00EA6481" w:rsidRDefault="00EA6481" w:rsidP="00AC0E2C">
      <w:pPr>
        <w:pStyle w:val="Heading2"/>
        <w:numPr>
          <w:ilvl w:val="1"/>
          <w:numId w:val="17"/>
        </w:numPr>
        <w:spacing w:before="60" w:after="120"/>
        <w:ind w:left="720" w:right="576"/>
        <w:jc w:val="both"/>
        <w:rPr>
          <w:rFonts w:cstheme="majorHAnsi"/>
          <w:color w:val="auto"/>
          <w:sz w:val="22"/>
          <w:szCs w:val="22"/>
          <w:lang w:val="it-IT"/>
        </w:rPr>
      </w:pPr>
      <w:r>
        <w:rPr>
          <w:rFonts w:eastAsia="Arial" w:cstheme="majorHAnsi"/>
          <w:color w:val="auto"/>
          <w:sz w:val="22"/>
          <w:szCs w:val="22"/>
          <w:lang w:val="it-IT"/>
        </w:rPr>
        <w:t>Ugro</w:t>
      </w:r>
      <w:r>
        <w:rPr>
          <w:rFonts w:eastAsia="Arial" w:cstheme="majorHAnsi"/>
          <w:color w:val="auto"/>
          <w:sz w:val="22"/>
          <w:szCs w:val="22"/>
          <w:lang w:val="sr-Latn-RS"/>
        </w:rPr>
        <w:t>ž</w:t>
      </w:r>
      <w:r>
        <w:rPr>
          <w:rFonts w:eastAsia="Arial" w:cstheme="majorHAnsi"/>
          <w:color w:val="auto"/>
          <w:sz w:val="22"/>
          <w:szCs w:val="22"/>
          <w:lang w:val="it-IT"/>
        </w:rPr>
        <w:t>eni i ra</w:t>
      </w:r>
      <w:r w:rsidRPr="00EA6481">
        <w:rPr>
          <w:rFonts w:eastAsia="Arial" w:cstheme="majorHAnsi"/>
          <w:color w:val="auto"/>
          <w:sz w:val="22"/>
          <w:szCs w:val="22"/>
          <w:lang w:val="it-IT"/>
        </w:rPr>
        <w:t>njivi pojedinci i grupe</w:t>
      </w:r>
    </w:p>
    <w:p w14:paraId="44A28633" w14:textId="4B5D3C20" w:rsidR="007E15DB" w:rsidRPr="00386B69" w:rsidRDefault="00EA6481" w:rsidP="00AC0E2C">
      <w:pPr>
        <w:spacing w:after="120" w:line="252" w:lineRule="auto"/>
        <w:ind w:left="720" w:right="576"/>
        <w:jc w:val="both"/>
        <w:rPr>
          <w:rFonts w:asciiTheme="majorHAnsi" w:hAnsiTheme="majorHAnsi" w:cstheme="majorHAnsi"/>
          <w:sz w:val="22"/>
        </w:rPr>
      </w:pPr>
      <w:r w:rsidRPr="00EA6481">
        <w:rPr>
          <w:rFonts w:asciiTheme="majorHAnsi" w:hAnsiTheme="majorHAnsi" w:cstheme="majorHAnsi"/>
          <w:sz w:val="22"/>
          <w:lang w:val="it-IT"/>
        </w:rPr>
        <w:t xml:space="preserve">Očekuje </w:t>
      </w:r>
      <w:r w:rsidR="00E201AE">
        <w:rPr>
          <w:rFonts w:asciiTheme="majorHAnsi" w:hAnsiTheme="majorHAnsi" w:cstheme="majorHAnsi"/>
          <w:sz w:val="22"/>
          <w:lang w:val="it-IT"/>
        </w:rPr>
        <w:t>se da će projekat biti koristan</w:t>
      </w:r>
      <w:r w:rsidRPr="00EA6481">
        <w:rPr>
          <w:rFonts w:asciiTheme="majorHAnsi" w:hAnsiTheme="majorHAnsi" w:cstheme="majorHAnsi"/>
          <w:sz w:val="22"/>
          <w:lang w:val="it-IT"/>
        </w:rPr>
        <w:t xml:space="preserve"> širokom spektru korisnika. Međutim, određene grupe mogu se suočiti sa preprekama u pristupu digitalnim uslugama, razumevanju informacija o projektu, učešću u konsultacijama ili ostvarivanju koristi od aktivnosti podržanih projektom. </w:t>
      </w:r>
      <w:r w:rsidRPr="00EA6481">
        <w:rPr>
          <w:rFonts w:asciiTheme="majorHAnsi" w:hAnsiTheme="majorHAnsi" w:cstheme="majorHAnsi"/>
          <w:sz w:val="22"/>
        </w:rPr>
        <w:t>To može uključivat</w:t>
      </w:r>
      <w:r>
        <w:rPr>
          <w:rFonts w:asciiTheme="majorHAnsi" w:hAnsiTheme="majorHAnsi" w:cstheme="majorHAnsi"/>
          <w:sz w:val="22"/>
        </w:rPr>
        <w:t>i</w:t>
      </w:r>
      <w:r w:rsidR="00811B0E" w:rsidRPr="00386B69">
        <w:rPr>
          <w:rFonts w:asciiTheme="majorHAnsi" w:hAnsiTheme="majorHAnsi" w:cstheme="majorHAnsi"/>
          <w:sz w:val="22"/>
        </w:rPr>
        <w:t>:</w:t>
      </w:r>
    </w:p>
    <w:p w14:paraId="2A0324E0" w14:textId="1A43A440" w:rsidR="007E15DB" w:rsidRPr="00386B69" w:rsidRDefault="00E201AE"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s</w:t>
      </w:r>
      <w:r w:rsidR="00EA6481">
        <w:rPr>
          <w:rFonts w:asciiTheme="majorHAnsi" w:hAnsiTheme="majorHAnsi" w:cstheme="majorHAnsi"/>
          <w:sz w:val="22"/>
        </w:rPr>
        <w:t>tarije osobe</w:t>
      </w:r>
      <w:r w:rsidR="00811B0E" w:rsidRPr="00386B69">
        <w:rPr>
          <w:rFonts w:asciiTheme="majorHAnsi" w:hAnsiTheme="majorHAnsi" w:cstheme="majorHAnsi"/>
          <w:sz w:val="22"/>
        </w:rPr>
        <w:t>;</w:t>
      </w:r>
    </w:p>
    <w:p w14:paraId="55AA70C0" w14:textId="17B096F2" w:rsidR="007E15DB" w:rsidRPr="00386B69" w:rsidRDefault="00EA6481"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o</w:t>
      </w:r>
      <w:r w:rsidRPr="00EA6481">
        <w:rPr>
          <w:rFonts w:asciiTheme="majorHAnsi" w:hAnsiTheme="majorHAnsi" w:cstheme="majorHAnsi"/>
          <w:sz w:val="22"/>
        </w:rPr>
        <w:t xml:space="preserve">sobe sa invaliditetom, </w:t>
      </w:r>
      <w:r w:rsidR="008E3C7F">
        <w:rPr>
          <w:rFonts w:asciiTheme="majorHAnsi" w:hAnsiTheme="majorHAnsi" w:cstheme="majorHAnsi"/>
          <w:sz w:val="22"/>
        </w:rPr>
        <w:t>kao i</w:t>
      </w:r>
      <w:r w:rsidRPr="00EA6481">
        <w:rPr>
          <w:rFonts w:asciiTheme="majorHAnsi" w:hAnsiTheme="majorHAnsi" w:cstheme="majorHAnsi"/>
          <w:sz w:val="22"/>
        </w:rPr>
        <w:t xml:space="preserve"> osobe sa vizuelnim, slušnim, motoričkim, kognitivnim ili drugim po</w:t>
      </w:r>
      <w:r>
        <w:rPr>
          <w:rFonts w:asciiTheme="majorHAnsi" w:hAnsiTheme="majorHAnsi" w:cstheme="majorHAnsi"/>
          <w:sz w:val="22"/>
        </w:rPr>
        <w:t>trebama u pogledu pristupačnosti;</w:t>
      </w:r>
    </w:p>
    <w:p w14:paraId="06B46B9E" w14:textId="0D3F5202" w:rsidR="007E15DB" w:rsidRPr="00386B69" w:rsidRDefault="00EA6481"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s</w:t>
      </w:r>
      <w:r w:rsidRPr="00EA6481">
        <w:rPr>
          <w:rFonts w:asciiTheme="majorHAnsi" w:hAnsiTheme="majorHAnsi" w:cstheme="majorHAnsi"/>
          <w:sz w:val="22"/>
        </w:rPr>
        <w:t>tanovništvo u ruralnim područjima i osobe koje žive u udaljenim krajevima</w:t>
      </w:r>
      <w:r w:rsidR="00811B0E" w:rsidRPr="00386B69">
        <w:rPr>
          <w:rFonts w:asciiTheme="majorHAnsi" w:hAnsiTheme="majorHAnsi" w:cstheme="majorHAnsi"/>
          <w:sz w:val="22"/>
        </w:rPr>
        <w:t>;</w:t>
      </w:r>
    </w:p>
    <w:p w14:paraId="52913529" w14:textId="6C814A24" w:rsidR="007E15DB" w:rsidRPr="00386B69" w:rsidRDefault="00EA6481"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domaćinstva sa niskim prihodima</w:t>
      </w:r>
      <w:r w:rsidR="00811B0E" w:rsidRPr="00386B69">
        <w:rPr>
          <w:rFonts w:asciiTheme="majorHAnsi" w:hAnsiTheme="majorHAnsi" w:cstheme="majorHAnsi"/>
          <w:sz w:val="22"/>
        </w:rPr>
        <w:t>;</w:t>
      </w:r>
    </w:p>
    <w:p w14:paraId="27B1388B" w14:textId="3FAE08B2" w:rsidR="007E15DB" w:rsidRPr="00386B69" w:rsidRDefault="00EA6481"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ž</w:t>
      </w:r>
      <w:r w:rsidRPr="00EA6481">
        <w:rPr>
          <w:rFonts w:asciiTheme="majorHAnsi" w:hAnsiTheme="majorHAnsi" w:cstheme="majorHAnsi"/>
          <w:sz w:val="22"/>
        </w:rPr>
        <w:t>ene, naročito tamo gde postoje rodne razlike u pristupu tehnologiji, digitalnim veštinama ili korišćenju usluga</w:t>
      </w:r>
      <w:r w:rsidR="00811B0E" w:rsidRPr="00386B69">
        <w:rPr>
          <w:rFonts w:asciiTheme="majorHAnsi" w:hAnsiTheme="majorHAnsi" w:cstheme="majorHAnsi"/>
          <w:sz w:val="22"/>
        </w:rPr>
        <w:t>;</w:t>
      </w:r>
    </w:p>
    <w:p w14:paraId="54D2ED62" w14:textId="5D1C7C08" w:rsidR="007E15DB" w:rsidRPr="00126377" w:rsidRDefault="00EA6481" w:rsidP="00AC0E2C">
      <w:pPr>
        <w:pStyle w:val="ListBullet"/>
        <w:spacing w:after="120" w:line="252" w:lineRule="auto"/>
        <w:ind w:left="720" w:right="576"/>
        <w:jc w:val="both"/>
        <w:rPr>
          <w:rFonts w:asciiTheme="majorHAnsi" w:hAnsiTheme="majorHAnsi" w:cstheme="majorHAnsi"/>
          <w:sz w:val="22"/>
          <w:lang w:val="it-IT"/>
        </w:rPr>
      </w:pPr>
      <w:r w:rsidRPr="00126377">
        <w:rPr>
          <w:rFonts w:asciiTheme="majorHAnsi" w:hAnsiTheme="majorHAnsi" w:cstheme="majorHAnsi"/>
          <w:sz w:val="22"/>
          <w:lang w:val="it-IT"/>
        </w:rPr>
        <w:t>mlade sa ograničenim pristupom obukama ili mogućnostima zapošljavanja</w:t>
      </w:r>
      <w:r w:rsidR="00811B0E" w:rsidRPr="00126377">
        <w:rPr>
          <w:rFonts w:asciiTheme="majorHAnsi" w:hAnsiTheme="majorHAnsi" w:cstheme="majorHAnsi"/>
          <w:sz w:val="22"/>
          <w:lang w:val="it-IT"/>
        </w:rPr>
        <w:t>;</w:t>
      </w:r>
    </w:p>
    <w:p w14:paraId="3AE9ADFB" w14:textId="53CE5872" w:rsidR="007E15DB" w:rsidRPr="00386B69" w:rsidRDefault="00126377"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R</w:t>
      </w:r>
      <w:r w:rsidRPr="00126377">
        <w:rPr>
          <w:rFonts w:asciiTheme="majorHAnsi" w:hAnsiTheme="majorHAnsi" w:cstheme="majorHAnsi"/>
          <w:sz w:val="22"/>
        </w:rPr>
        <w:t xml:space="preserve">ome i druge manjinske grupe, </w:t>
      </w:r>
      <w:r w:rsidR="008E3C7F">
        <w:rPr>
          <w:rFonts w:asciiTheme="majorHAnsi" w:hAnsiTheme="majorHAnsi" w:cstheme="majorHAnsi"/>
          <w:sz w:val="22"/>
        </w:rPr>
        <w:t>u zavisnosti od slučaja</w:t>
      </w:r>
      <w:r w:rsidR="00811B0E" w:rsidRPr="00386B69">
        <w:rPr>
          <w:rFonts w:asciiTheme="majorHAnsi" w:hAnsiTheme="majorHAnsi" w:cstheme="majorHAnsi"/>
          <w:sz w:val="22"/>
        </w:rPr>
        <w:t>;</w:t>
      </w:r>
    </w:p>
    <w:p w14:paraId="31C446CF" w14:textId="4AFE8F7F" w:rsidR="007E15DB" w:rsidRPr="0042447D" w:rsidRDefault="00126377" w:rsidP="00AC0E2C">
      <w:pPr>
        <w:pStyle w:val="ListBullet"/>
        <w:spacing w:after="120" w:line="252" w:lineRule="auto"/>
        <w:ind w:left="720" w:right="576"/>
        <w:jc w:val="both"/>
        <w:rPr>
          <w:rFonts w:asciiTheme="majorHAnsi" w:hAnsiTheme="majorHAnsi" w:cstheme="majorHAnsi"/>
          <w:sz w:val="22"/>
          <w:lang w:val="it-IT"/>
        </w:rPr>
      </w:pPr>
      <w:r w:rsidRPr="0042447D">
        <w:rPr>
          <w:rFonts w:asciiTheme="majorHAnsi" w:hAnsiTheme="majorHAnsi" w:cstheme="majorHAnsi"/>
          <w:sz w:val="22"/>
          <w:lang w:val="it-IT"/>
        </w:rPr>
        <w:t>osobe sa niskim nivoom digitalne pismenost</w:t>
      </w:r>
      <w:r w:rsidR="0042447D" w:rsidRPr="0042447D">
        <w:rPr>
          <w:rFonts w:asciiTheme="majorHAnsi" w:hAnsiTheme="majorHAnsi" w:cstheme="majorHAnsi"/>
          <w:sz w:val="22"/>
          <w:lang w:val="it-IT"/>
        </w:rPr>
        <w:t>i</w:t>
      </w:r>
      <w:r w:rsidR="00811B0E" w:rsidRPr="0042447D">
        <w:rPr>
          <w:rFonts w:asciiTheme="majorHAnsi" w:hAnsiTheme="majorHAnsi" w:cstheme="majorHAnsi"/>
          <w:sz w:val="22"/>
          <w:lang w:val="it-IT"/>
        </w:rPr>
        <w:t>;</w:t>
      </w:r>
    </w:p>
    <w:p w14:paraId="51DD37C2" w14:textId="6099B268" w:rsidR="007E15DB" w:rsidRPr="0042447D" w:rsidRDefault="0042447D" w:rsidP="00AC0E2C">
      <w:pPr>
        <w:pStyle w:val="ListBullet"/>
        <w:spacing w:after="120" w:line="252" w:lineRule="auto"/>
        <w:ind w:left="720" w:right="576"/>
        <w:jc w:val="both"/>
        <w:rPr>
          <w:rFonts w:asciiTheme="majorHAnsi" w:hAnsiTheme="majorHAnsi" w:cstheme="majorHAnsi"/>
          <w:sz w:val="22"/>
          <w:lang w:val="it-IT"/>
        </w:rPr>
      </w:pPr>
      <w:r w:rsidRPr="0042447D">
        <w:rPr>
          <w:rFonts w:asciiTheme="majorHAnsi" w:hAnsiTheme="majorHAnsi" w:cstheme="majorHAnsi"/>
          <w:sz w:val="22"/>
          <w:lang w:val="it-IT"/>
        </w:rPr>
        <w:t>osobe bez pouzdanog pristupa internetu, digitalnim uređajima ili digitalnom identitetu</w:t>
      </w:r>
      <w:r w:rsidR="00811B0E" w:rsidRPr="0042447D">
        <w:rPr>
          <w:rFonts w:asciiTheme="majorHAnsi" w:hAnsiTheme="majorHAnsi" w:cstheme="majorHAnsi"/>
          <w:sz w:val="22"/>
          <w:lang w:val="it-IT"/>
        </w:rPr>
        <w:t>;</w:t>
      </w:r>
    </w:p>
    <w:p w14:paraId="2EB0EF09" w14:textId="188E8D60" w:rsidR="007E15DB" w:rsidRPr="005A0FBC" w:rsidRDefault="005A0FBC"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k</w:t>
      </w:r>
      <w:r w:rsidRPr="005A0FBC">
        <w:rPr>
          <w:rFonts w:asciiTheme="majorHAnsi" w:hAnsiTheme="majorHAnsi" w:cstheme="majorHAnsi"/>
          <w:sz w:val="22"/>
          <w:lang w:val="it-IT"/>
        </w:rPr>
        <w:t>orisnike kojima su potrebni asistirani, neposredni ili nedigitalni kanali pristupa</w:t>
      </w:r>
      <w:r w:rsidR="00811B0E" w:rsidRPr="005A0FBC">
        <w:rPr>
          <w:rFonts w:asciiTheme="majorHAnsi" w:hAnsiTheme="majorHAnsi" w:cstheme="majorHAnsi"/>
          <w:sz w:val="22"/>
          <w:lang w:val="it-IT"/>
        </w:rPr>
        <w:t>;</w:t>
      </w:r>
    </w:p>
    <w:p w14:paraId="54CEF2C7" w14:textId="7C01D014" w:rsidR="007E15DB" w:rsidRPr="005A0FBC" w:rsidRDefault="005A0FBC"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s</w:t>
      </w:r>
      <w:r w:rsidRPr="005A0FBC">
        <w:rPr>
          <w:rFonts w:asciiTheme="majorHAnsi" w:hAnsiTheme="majorHAnsi" w:cstheme="majorHAnsi"/>
          <w:sz w:val="22"/>
          <w:lang w:val="it-IT"/>
        </w:rPr>
        <w:t>trane državljane koji koriste usluge registracije i koji se mogu suočiti sa jezičkim ili proceduralnim preprekama</w:t>
      </w:r>
      <w:r w:rsidR="00811B0E" w:rsidRPr="005A0FBC">
        <w:rPr>
          <w:rFonts w:asciiTheme="majorHAnsi" w:hAnsiTheme="majorHAnsi" w:cstheme="majorHAnsi"/>
          <w:sz w:val="22"/>
          <w:lang w:val="it-IT"/>
        </w:rPr>
        <w:t xml:space="preserve">; </w:t>
      </w:r>
      <w:r>
        <w:rPr>
          <w:rFonts w:asciiTheme="majorHAnsi" w:hAnsiTheme="majorHAnsi" w:cstheme="majorHAnsi"/>
          <w:sz w:val="22"/>
          <w:lang w:val="it-IT"/>
        </w:rPr>
        <w:t>i</w:t>
      </w:r>
    </w:p>
    <w:p w14:paraId="22449336" w14:textId="478D7F5D" w:rsidR="007E15DB" w:rsidRPr="005A0FBC" w:rsidRDefault="005A0FBC"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p</w:t>
      </w:r>
      <w:r w:rsidRPr="005A0FBC">
        <w:rPr>
          <w:rFonts w:asciiTheme="majorHAnsi" w:hAnsiTheme="majorHAnsi" w:cstheme="majorHAnsi"/>
          <w:sz w:val="22"/>
          <w:lang w:val="it-IT"/>
        </w:rPr>
        <w:t>acijente ili druge korisnike koji koriste digitalne zdravstvene usluge i kojima može biti potrebna dodatna podrška</w:t>
      </w:r>
      <w:r w:rsidR="00811B0E" w:rsidRPr="005A0FBC">
        <w:rPr>
          <w:rFonts w:asciiTheme="majorHAnsi" w:hAnsiTheme="majorHAnsi" w:cstheme="majorHAnsi"/>
          <w:sz w:val="22"/>
          <w:lang w:val="it-IT"/>
        </w:rPr>
        <w:t>.</w:t>
      </w:r>
    </w:p>
    <w:p w14:paraId="3BD04D11" w14:textId="0AA3CD20" w:rsidR="007E15DB" w:rsidRPr="00312489" w:rsidRDefault="00312489" w:rsidP="00AC0E2C">
      <w:pPr>
        <w:spacing w:after="120" w:line="252" w:lineRule="auto"/>
        <w:ind w:left="720" w:right="576"/>
        <w:jc w:val="both"/>
        <w:rPr>
          <w:rFonts w:asciiTheme="majorHAnsi" w:hAnsiTheme="majorHAnsi" w:cstheme="majorHAnsi"/>
          <w:sz w:val="22"/>
          <w:lang w:val="it-IT"/>
        </w:rPr>
      </w:pPr>
      <w:r w:rsidRPr="00312489">
        <w:rPr>
          <w:rFonts w:asciiTheme="majorHAnsi" w:hAnsiTheme="majorHAnsi" w:cstheme="majorHAnsi"/>
          <w:sz w:val="22"/>
          <w:lang w:val="it-IT"/>
        </w:rPr>
        <w:t>Uključivanje ovih grupa zahtevaće prilagođenu komunikaciju, pristupačne formate, jednostavan jezik, korišćenje više komunikacionih kanala i koordinaciju sa relevantnim organizacijama civilnog društva, lokalnim institucijama ili reprezentativnim organizacijama</w:t>
      </w:r>
      <w:r w:rsidR="00811B0E" w:rsidRPr="00312489">
        <w:rPr>
          <w:rFonts w:asciiTheme="majorHAnsi" w:hAnsiTheme="majorHAnsi" w:cstheme="majorHAnsi"/>
          <w:sz w:val="22"/>
          <w:lang w:val="it-IT"/>
        </w:rPr>
        <w:t>.</w:t>
      </w:r>
    </w:p>
    <w:p w14:paraId="412965D5" w14:textId="5A258A22" w:rsidR="007E15DB" w:rsidRPr="000F2B6A" w:rsidRDefault="00523023" w:rsidP="00AC0E2C">
      <w:pPr>
        <w:pStyle w:val="Heading2"/>
        <w:numPr>
          <w:ilvl w:val="1"/>
          <w:numId w:val="17"/>
        </w:numPr>
        <w:spacing w:before="60" w:after="120"/>
        <w:ind w:left="720" w:right="576"/>
        <w:jc w:val="both"/>
        <w:rPr>
          <w:rFonts w:cstheme="majorHAnsi"/>
          <w:color w:val="auto"/>
          <w:sz w:val="22"/>
          <w:szCs w:val="22"/>
          <w:lang w:val="it-IT"/>
        </w:rPr>
      </w:pPr>
      <w:r>
        <w:rPr>
          <w:rFonts w:eastAsia="Arial" w:cstheme="majorHAnsi"/>
          <w:color w:val="auto"/>
          <w:sz w:val="22"/>
          <w:szCs w:val="22"/>
          <w:lang w:val="it-IT"/>
        </w:rPr>
        <w:lastRenderedPageBreak/>
        <w:t>Matr</w:t>
      </w:r>
      <w:r w:rsidR="00E82F0E" w:rsidRPr="000F2B6A">
        <w:rPr>
          <w:rFonts w:eastAsia="Arial" w:cstheme="majorHAnsi"/>
          <w:color w:val="auto"/>
          <w:sz w:val="22"/>
          <w:szCs w:val="22"/>
          <w:lang w:val="it-IT"/>
        </w:rPr>
        <w:t>ica interesa i uticaja zainteresovanih strana</w:t>
      </w:r>
    </w:p>
    <w:tbl>
      <w:tblPr>
        <w:tblStyle w:val="TableGrid"/>
        <w:tblW w:w="5000" w:type="pct"/>
        <w:jc w:val="center"/>
        <w:tblLook w:val="04A0" w:firstRow="1" w:lastRow="0" w:firstColumn="1" w:lastColumn="0" w:noHBand="0" w:noVBand="1"/>
      </w:tblPr>
      <w:tblGrid>
        <w:gridCol w:w="1773"/>
        <w:gridCol w:w="1771"/>
        <w:gridCol w:w="1789"/>
        <w:gridCol w:w="1771"/>
        <w:gridCol w:w="1771"/>
        <w:gridCol w:w="1771"/>
      </w:tblGrid>
      <w:tr w:rsidR="0055274A" w:rsidRPr="00386B69" w14:paraId="4B39ACBC" w14:textId="77777777" w:rsidTr="00D853FA">
        <w:trPr>
          <w:cantSplit/>
          <w:tblHeader/>
          <w:jc w:val="center"/>
        </w:trPr>
        <w:tc>
          <w:tcPr>
            <w:tcW w:w="834" w:type="pct"/>
            <w:shd w:val="clear" w:color="auto" w:fill="D9EAF7"/>
            <w:tcMar>
              <w:top w:w="60" w:type="dxa"/>
              <w:left w:w="60" w:type="dxa"/>
              <w:bottom w:w="60" w:type="dxa"/>
              <w:right w:w="60" w:type="dxa"/>
            </w:tcMar>
          </w:tcPr>
          <w:p w14:paraId="6C34825B" w14:textId="02A469C2" w:rsidR="007E15DB" w:rsidRPr="00611C08" w:rsidRDefault="000F2B6A" w:rsidP="002327AF">
            <w:pPr>
              <w:rPr>
                <w:rFonts w:asciiTheme="majorHAnsi" w:hAnsiTheme="majorHAnsi" w:cstheme="majorHAnsi"/>
                <w:sz w:val="22"/>
              </w:rPr>
            </w:pPr>
            <w:r>
              <w:rPr>
                <w:rFonts w:asciiTheme="majorHAnsi" w:hAnsiTheme="majorHAnsi" w:cstheme="majorHAnsi"/>
                <w:b/>
                <w:sz w:val="22"/>
              </w:rPr>
              <w:t>Grupa zainteresovanih strana</w:t>
            </w:r>
          </w:p>
        </w:tc>
        <w:tc>
          <w:tcPr>
            <w:tcW w:w="833" w:type="pct"/>
            <w:shd w:val="clear" w:color="auto" w:fill="D9EAF7"/>
            <w:tcMar>
              <w:top w:w="60" w:type="dxa"/>
              <w:left w:w="60" w:type="dxa"/>
              <w:bottom w:w="60" w:type="dxa"/>
              <w:right w:w="60" w:type="dxa"/>
            </w:tcMar>
          </w:tcPr>
          <w:p w14:paraId="3579BF11" w14:textId="53D977C3" w:rsidR="007E15DB" w:rsidRPr="00611C08" w:rsidRDefault="000F2B6A" w:rsidP="002327AF">
            <w:pPr>
              <w:rPr>
                <w:rFonts w:asciiTheme="majorHAnsi" w:hAnsiTheme="majorHAnsi" w:cstheme="majorHAnsi"/>
                <w:sz w:val="22"/>
              </w:rPr>
            </w:pPr>
            <w:r>
              <w:rPr>
                <w:rFonts w:asciiTheme="majorHAnsi" w:hAnsiTheme="majorHAnsi" w:cstheme="majorHAnsi"/>
                <w:b/>
                <w:sz w:val="22"/>
              </w:rPr>
              <w:t>Zainteresovana strana</w:t>
            </w:r>
          </w:p>
        </w:tc>
        <w:tc>
          <w:tcPr>
            <w:tcW w:w="833" w:type="pct"/>
            <w:shd w:val="clear" w:color="auto" w:fill="D9EAF7"/>
            <w:tcMar>
              <w:top w:w="60" w:type="dxa"/>
              <w:left w:w="60" w:type="dxa"/>
              <w:bottom w:w="60" w:type="dxa"/>
              <w:right w:w="60" w:type="dxa"/>
            </w:tcMar>
          </w:tcPr>
          <w:p w14:paraId="1AA3B922" w14:textId="38E7B417" w:rsidR="007E15DB" w:rsidRPr="00611C08" w:rsidRDefault="000F2B6A" w:rsidP="002327AF">
            <w:pPr>
              <w:rPr>
                <w:rFonts w:asciiTheme="majorHAnsi" w:hAnsiTheme="majorHAnsi" w:cstheme="majorHAnsi"/>
                <w:sz w:val="22"/>
              </w:rPr>
            </w:pPr>
            <w:r>
              <w:rPr>
                <w:rFonts w:asciiTheme="majorHAnsi" w:hAnsiTheme="majorHAnsi" w:cstheme="majorHAnsi"/>
                <w:b/>
                <w:sz w:val="22"/>
              </w:rPr>
              <w:t>Vrsta interesa</w:t>
            </w:r>
          </w:p>
        </w:tc>
        <w:tc>
          <w:tcPr>
            <w:tcW w:w="833" w:type="pct"/>
            <w:shd w:val="clear" w:color="auto" w:fill="D9EAF7"/>
            <w:tcMar>
              <w:top w:w="60" w:type="dxa"/>
              <w:left w:w="60" w:type="dxa"/>
              <w:bottom w:w="60" w:type="dxa"/>
              <w:right w:w="60" w:type="dxa"/>
            </w:tcMar>
          </w:tcPr>
          <w:p w14:paraId="16020B8C" w14:textId="1298B337" w:rsidR="007E15DB" w:rsidRPr="000F2B6A" w:rsidRDefault="000F2B6A" w:rsidP="000F2B6A">
            <w:pPr>
              <w:rPr>
                <w:b/>
              </w:rPr>
            </w:pPr>
            <w:r w:rsidRPr="000F2B6A">
              <w:rPr>
                <w:b/>
              </w:rPr>
              <w:t>Nivo interesa</w:t>
            </w:r>
          </w:p>
        </w:tc>
        <w:tc>
          <w:tcPr>
            <w:tcW w:w="833" w:type="pct"/>
            <w:shd w:val="clear" w:color="auto" w:fill="D9EAF7"/>
            <w:tcMar>
              <w:top w:w="60" w:type="dxa"/>
              <w:left w:w="60" w:type="dxa"/>
              <w:bottom w:w="60" w:type="dxa"/>
              <w:right w:w="60" w:type="dxa"/>
            </w:tcMar>
          </w:tcPr>
          <w:p w14:paraId="6781A431" w14:textId="48FC5472" w:rsidR="007E15DB" w:rsidRPr="00611C08" w:rsidRDefault="000F2B6A" w:rsidP="002327AF">
            <w:pPr>
              <w:rPr>
                <w:rFonts w:asciiTheme="majorHAnsi" w:hAnsiTheme="majorHAnsi" w:cstheme="majorHAnsi"/>
                <w:sz w:val="22"/>
              </w:rPr>
            </w:pPr>
            <w:r>
              <w:rPr>
                <w:rFonts w:asciiTheme="majorHAnsi" w:hAnsiTheme="majorHAnsi" w:cstheme="majorHAnsi"/>
                <w:b/>
                <w:sz w:val="22"/>
              </w:rPr>
              <w:t>Nivo uticaja</w:t>
            </w:r>
          </w:p>
        </w:tc>
        <w:tc>
          <w:tcPr>
            <w:tcW w:w="833" w:type="pct"/>
            <w:shd w:val="clear" w:color="auto" w:fill="D9EAF7"/>
            <w:tcMar>
              <w:top w:w="60" w:type="dxa"/>
              <w:left w:w="60" w:type="dxa"/>
              <w:bottom w:w="60" w:type="dxa"/>
              <w:right w:w="60" w:type="dxa"/>
            </w:tcMar>
          </w:tcPr>
          <w:p w14:paraId="7384DDB0" w14:textId="5DA7C17D" w:rsidR="007E15DB" w:rsidRPr="00611C08" w:rsidRDefault="000F2B6A" w:rsidP="002327AF">
            <w:pPr>
              <w:rPr>
                <w:rFonts w:asciiTheme="majorHAnsi" w:hAnsiTheme="majorHAnsi" w:cstheme="majorHAnsi"/>
                <w:sz w:val="22"/>
              </w:rPr>
            </w:pPr>
            <w:r>
              <w:rPr>
                <w:rFonts w:asciiTheme="majorHAnsi" w:hAnsiTheme="majorHAnsi" w:cstheme="majorHAnsi"/>
                <w:b/>
                <w:sz w:val="22"/>
              </w:rPr>
              <w:t>Predloženi pristup angažovanju</w:t>
            </w:r>
          </w:p>
        </w:tc>
      </w:tr>
      <w:tr w:rsidR="0055274A" w:rsidRPr="00802EE5" w14:paraId="1EB0D87E" w14:textId="77777777" w:rsidTr="00D853FA">
        <w:trPr>
          <w:cantSplit/>
          <w:jc w:val="center"/>
        </w:trPr>
        <w:tc>
          <w:tcPr>
            <w:tcW w:w="834" w:type="pct"/>
            <w:tcMar>
              <w:top w:w="60" w:type="dxa"/>
              <w:left w:w="60" w:type="dxa"/>
              <w:bottom w:w="60" w:type="dxa"/>
              <w:right w:w="60" w:type="dxa"/>
            </w:tcMar>
          </w:tcPr>
          <w:p w14:paraId="7EA4959D" w14:textId="6FBEB6EC" w:rsidR="007E15DB" w:rsidRPr="00611C08" w:rsidRDefault="000F2B6A" w:rsidP="002327AF">
            <w:pPr>
              <w:rPr>
                <w:rFonts w:asciiTheme="majorHAnsi" w:hAnsiTheme="majorHAnsi" w:cstheme="majorHAnsi"/>
                <w:sz w:val="22"/>
              </w:rPr>
            </w:pPr>
            <w:r>
              <w:rPr>
                <w:rFonts w:asciiTheme="majorHAnsi" w:hAnsiTheme="majorHAnsi" w:cstheme="majorHAnsi"/>
                <w:sz w:val="22"/>
              </w:rPr>
              <w:t>Strane pogođene projektom</w:t>
            </w:r>
          </w:p>
        </w:tc>
        <w:tc>
          <w:tcPr>
            <w:tcW w:w="833" w:type="pct"/>
            <w:tcMar>
              <w:top w:w="60" w:type="dxa"/>
              <w:left w:w="60" w:type="dxa"/>
              <w:bottom w:w="60" w:type="dxa"/>
              <w:right w:w="60" w:type="dxa"/>
            </w:tcMar>
          </w:tcPr>
          <w:p w14:paraId="0B0CA8C4" w14:textId="78EA0472" w:rsidR="007E15DB" w:rsidRPr="000F2B6A" w:rsidRDefault="000F2B6A" w:rsidP="002327AF">
            <w:pPr>
              <w:rPr>
                <w:rFonts w:asciiTheme="majorHAnsi" w:hAnsiTheme="majorHAnsi" w:cstheme="majorHAnsi"/>
                <w:sz w:val="22"/>
                <w:lang w:val="it-IT"/>
              </w:rPr>
            </w:pPr>
            <w:r w:rsidRPr="000F2B6A">
              <w:rPr>
                <w:rFonts w:asciiTheme="majorHAnsi" w:hAnsiTheme="majorHAnsi" w:cstheme="majorHAnsi"/>
                <w:sz w:val="22"/>
                <w:lang w:val="it-IT"/>
              </w:rPr>
              <w:t>Građani i stanovnici koji koriste digitalne javne usluge</w:t>
            </w:r>
          </w:p>
        </w:tc>
        <w:tc>
          <w:tcPr>
            <w:tcW w:w="833" w:type="pct"/>
            <w:tcMar>
              <w:top w:w="60" w:type="dxa"/>
              <w:left w:w="60" w:type="dxa"/>
              <w:bottom w:w="60" w:type="dxa"/>
              <w:right w:w="60" w:type="dxa"/>
            </w:tcMar>
          </w:tcPr>
          <w:p w14:paraId="7FB31D13" w14:textId="77894DB8" w:rsidR="007E15DB" w:rsidRPr="000F2B6A" w:rsidRDefault="000F2B6A" w:rsidP="002327AF">
            <w:pPr>
              <w:rPr>
                <w:rFonts w:asciiTheme="majorHAnsi" w:hAnsiTheme="majorHAnsi" w:cstheme="majorHAnsi"/>
                <w:sz w:val="22"/>
                <w:lang w:val="it-IT"/>
              </w:rPr>
            </w:pPr>
            <w:r>
              <w:rPr>
                <w:rFonts w:asciiTheme="majorHAnsi" w:hAnsiTheme="majorHAnsi" w:cstheme="majorHAnsi"/>
                <w:sz w:val="22"/>
                <w:lang w:val="it-IT"/>
              </w:rPr>
              <w:t>P</w:t>
            </w:r>
            <w:r w:rsidRPr="000F2B6A">
              <w:rPr>
                <w:rFonts w:asciiTheme="majorHAnsi" w:hAnsiTheme="majorHAnsi" w:cstheme="majorHAnsi"/>
                <w:sz w:val="22"/>
                <w:lang w:val="it-IT"/>
              </w:rPr>
              <w:t>ristup unapređenim, korisnički orijentisanim, bezbednim i praktičnim uslugama</w:t>
            </w:r>
          </w:p>
        </w:tc>
        <w:tc>
          <w:tcPr>
            <w:tcW w:w="833" w:type="pct"/>
            <w:tcMar>
              <w:top w:w="60" w:type="dxa"/>
              <w:left w:w="60" w:type="dxa"/>
              <w:bottom w:w="60" w:type="dxa"/>
              <w:right w:w="60" w:type="dxa"/>
            </w:tcMar>
          </w:tcPr>
          <w:p w14:paraId="156F52BF" w14:textId="586C2B96" w:rsidR="007E15DB" w:rsidRPr="00611C08" w:rsidRDefault="000F2B6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6AC63224" w14:textId="6F1A03CB" w:rsidR="007E15DB" w:rsidRPr="00611C08" w:rsidRDefault="000F2B6A"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507E773A" w14:textId="1A6ADC54" w:rsidR="007E15DB" w:rsidRPr="000F2B6A" w:rsidRDefault="000F2B6A" w:rsidP="002327AF">
            <w:pPr>
              <w:rPr>
                <w:rFonts w:asciiTheme="majorHAnsi" w:hAnsiTheme="majorHAnsi" w:cstheme="majorHAnsi"/>
                <w:sz w:val="22"/>
                <w:lang w:val="it-IT"/>
              </w:rPr>
            </w:pPr>
            <w:r w:rsidRPr="000F2B6A">
              <w:rPr>
                <w:rFonts w:asciiTheme="majorHAnsi" w:hAnsiTheme="majorHAnsi" w:cstheme="majorHAnsi"/>
                <w:sz w:val="22"/>
                <w:lang w:val="it-IT"/>
              </w:rPr>
              <w:t>Informisanje, konsultacije, prikupljanje povratnih informacija</w:t>
            </w:r>
          </w:p>
        </w:tc>
      </w:tr>
      <w:tr w:rsidR="0055274A" w:rsidRPr="00802EE5" w14:paraId="641B14AC" w14:textId="77777777" w:rsidTr="00D853FA">
        <w:trPr>
          <w:cantSplit/>
          <w:jc w:val="center"/>
        </w:trPr>
        <w:tc>
          <w:tcPr>
            <w:tcW w:w="834" w:type="pct"/>
            <w:tcMar>
              <w:top w:w="60" w:type="dxa"/>
              <w:left w:w="60" w:type="dxa"/>
              <w:bottom w:w="60" w:type="dxa"/>
              <w:right w:w="60" w:type="dxa"/>
            </w:tcMar>
          </w:tcPr>
          <w:p w14:paraId="016E2D3F" w14:textId="582B5003" w:rsidR="007E15DB" w:rsidRPr="00611C08" w:rsidRDefault="000F2B6A" w:rsidP="002327AF">
            <w:pPr>
              <w:rPr>
                <w:rFonts w:asciiTheme="majorHAnsi" w:hAnsiTheme="majorHAnsi" w:cstheme="majorHAnsi"/>
                <w:sz w:val="22"/>
              </w:rPr>
            </w:pPr>
            <w:r w:rsidRPr="000F2B6A">
              <w:rPr>
                <w:rFonts w:asciiTheme="majorHAnsi" w:hAnsiTheme="majorHAnsi" w:cstheme="majorHAnsi"/>
                <w:sz w:val="22"/>
              </w:rPr>
              <w:t>Strane pogođene projektom</w:t>
            </w:r>
          </w:p>
        </w:tc>
        <w:tc>
          <w:tcPr>
            <w:tcW w:w="833" w:type="pct"/>
            <w:tcMar>
              <w:top w:w="60" w:type="dxa"/>
              <w:left w:w="60" w:type="dxa"/>
              <w:bottom w:w="60" w:type="dxa"/>
              <w:right w:w="60" w:type="dxa"/>
            </w:tcMar>
          </w:tcPr>
          <w:p w14:paraId="7ACA8AB2" w14:textId="4E75A5F2" w:rsidR="007E15DB" w:rsidRPr="000F2B6A" w:rsidRDefault="000F2B6A" w:rsidP="002327AF">
            <w:pPr>
              <w:rPr>
                <w:rFonts w:asciiTheme="majorHAnsi" w:hAnsiTheme="majorHAnsi" w:cstheme="majorHAnsi"/>
                <w:sz w:val="22"/>
                <w:lang w:val="it-IT"/>
              </w:rPr>
            </w:pPr>
            <w:r w:rsidRPr="000F2B6A">
              <w:rPr>
                <w:rFonts w:asciiTheme="majorHAnsi" w:hAnsiTheme="majorHAnsi" w:cstheme="majorHAnsi"/>
                <w:sz w:val="22"/>
                <w:lang w:val="it-IT"/>
              </w:rPr>
              <w:t>Korisnici i potencijalni korisnici Digitalnog novčanika</w:t>
            </w:r>
          </w:p>
        </w:tc>
        <w:tc>
          <w:tcPr>
            <w:tcW w:w="833" w:type="pct"/>
            <w:tcMar>
              <w:top w:w="60" w:type="dxa"/>
              <w:left w:w="60" w:type="dxa"/>
              <w:bottom w:w="60" w:type="dxa"/>
              <w:right w:w="60" w:type="dxa"/>
            </w:tcMar>
          </w:tcPr>
          <w:p w14:paraId="4737D370" w14:textId="200D57D5" w:rsidR="007E15DB" w:rsidRPr="000F2B6A" w:rsidRDefault="000F2B6A" w:rsidP="002327AF">
            <w:pPr>
              <w:rPr>
                <w:rFonts w:asciiTheme="majorHAnsi" w:hAnsiTheme="majorHAnsi" w:cstheme="majorHAnsi"/>
                <w:sz w:val="22"/>
                <w:lang w:val="it-IT"/>
              </w:rPr>
            </w:pPr>
            <w:r w:rsidRPr="000F2B6A">
              <w:rPr>
                <w:rFonts w:asciiTheme="majorHAnsi" w:hAnsiTheme="majorHAnsi" w:cstheme="majorHAnsi"/>
                <w:sz w:val="22"/>
                <w:lang w:val="it-IT"/>
              </w:rPr>
              <w:t>Razumevanje koristi, privatnosti, bezbednosti, upotrebljivosti i mogućnosti pravne zaštite</w:t>
            </w:r>
          </w:p>
        </w:tc>
        <w:tc>
          <w:tcPr>
            <w:tcW w:w="833" w:type="pct"/>
            <w:tcMar>
              <w:top w:w="60" w:type="dxa"/>
              <w:left w:w="60" w:type="dxa"/>
              <w:bottom w:w="60" w:type="dxa"/>
              <w:right w:w="60" w:type="dxa"/>
            </w:tcMar>
          </w:tcPr>
          <w:p w14:paraId="43B74FF8" w14:textId="6503B35F" w:rsidR="007E15DB" w:rsidRPr="00611C08" w:rsidRDefault="000F2B6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6A83C697" w14:textId="3714C69C" w:rsidR="007E15DB" w:rsidRPr="00611C08" w:rsidRDefault="000F2B6A"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5C668577" w14:textId="5812F44C" w:rsidR="007E15DB" w:rsidRPr="006612B0" w:rsidRDefault="00802EE5" w:rsidP="002327AF">
            <w:pPr>
              <w:rPr>
                <w:rFonts w:asciiTheme="majorHAnsi" w:hAnsiTheme="majorHAnsi" w:cstheme="majorHAnsi"/>
                <w:sz w:val="22"/>
                <w:lang w:val="it-IT"/>
              </w:rPr>
            </w:pPr>
            <w:r>
              <w:rPr>
                <w:rFonts w:asciiTheme="majorHAnsi" w:hAnsiTheme="majorHAnsi" w:cstheme="majorHAnsi"/>
                <w:sz w:val="22"/>
                <w:lang w:val="it-IT"/>
              </w:rPr>
              <w:t>I</w:t>
            </w:r>
            <w:r w:rsidR="006612B0" w:rsidRPr="006612B0">
              <w:rPr>
                <w:rFonts w:asciiTheme="majorHAnsi" w:hAnsiTheme="majorHAnsi" w:cstheme="majorHAnsi"/>
                <w:sz w:val="22"/>
                <w:lang w:val="it-IT"/>
              </w:rPr>
              <w:t>nformisanje, konsultacije, korisničko testiranje, mehanizmi za povratne informacije</w:t>
            </w:r>
          </w:p>
        </w:tc>
      </w:tr>
      <w:tr w:rsidR="0055274A" w:rsidRPr="00386B69" w14:paraId="72037EBC" w14:textId="77777777" w:rsidTr="00D853FA">
        <w:trPr>
          <w:cantSplit/>
          <w:jc w:val="center"/>
        </w:trPr>
        <w:tc>
          <w:tcPr>
            <w:tcW w:w="834" w:type="pct"/>
            <w:tcMar>
              <w:top w:w="60" w:type="dxa"/>
              <w:left w:w="60" w:type="dxa"/>
              <w:bottom w:w="60" w:type="dxa"/>
              <w:right w:w="60" w:type="dxa"/>
            </w:tcMar>
          </w:tcPr>
          <w:p w14:paraId="7DF500A5" w14:textId="65F56FCE" w:rsidR="007E15DB" w:rsidRPr="00611C08" w:rsidRDefault="000F2B6A" w:rsidP="002327AF">
            <w:pPr>
              <w:rPr>
                <w:rFonts w:asciiTheme="majorHAnsi" w:hAnsiTheme="majorHAnsi" w:cstheme="majorHAnsi"/>
                <w:sz w:val="22"/>
              </w:rPr>
            </w:pPr>
            <w:r w:rsidRPr="000F2B6A">
              <w:rPr>
                <w:rFonts w:asciiTheme="majorHAnsi" w:hAnsiTheme="majorHAnsi" w:cstheme="majorHAnsi"/>
                <w:sz w:val="22"/>
              </w:rPr>
              <w:t>Strane pogođene projektom</w:t>
            </w:r>
          </w:p>
        </w:tc>
        <w:tc>
          <w:tcPr>
            <w:tcW w:w="833" w:type="pct"/>
            <w:tcMar>
              <w:top w:w="60" w:type="dxa"/>
              <w:left w:w="60" w:type="dxa"/>
              <w:bottom w:w="60" w:type="dxa"/>
              <w:right w:w="60" w:type="dxa"/>
            </w:tcMar>
          </w:tcPr>
          <w:p w14:paraId="3B26A4F1" w14:textId="58BD2D2A" w:rsidR="007E15DB" w:rsidRPr="00611C08" w:rsidRDefault="008C0DAF" w:rsidP="002327AF">
            <w:pPr>
              <w:rPr>
                <w:rFonts w:asciiTheme="majorHAnsi" w:hAnsiTheme="majorHAnsi" w:cstheme="majorHAnsi"/>
                <w:sz w:val="22"/>
              </w:rPr>
            </w:pPr>
            <w:r w:rsidRPr="008C0DAF">
              <w:rPr>
                <w:rFonts w:asciiTheme="majorHAnsi" w:hAnsiTheme="majorHAnsi" w:cstheme="majorHAnsi"/>
                <w:sz w:val="22"/>
              </w:rPr>
              <w:t>Korisnici slučajeva upotrebe Digitalnog novčanika: vozači, strani državljani, pacijenti</w:t>
            </w:r>
          </w:p>
        </w:tc>
        <w:tc>
          <w:tcPr>
            <w:tcW w:w="833" w:type="pct"/>
            <w:tcMar>
              <w:top w:w="60" w:type="dxa"/>
              <w:left w:w="60" w:type="dxa"/>
              <w:bottom w:w="60" w:type="dxa"/>
              <w:right w:w="60" w:type="dxa"/>
            </w:tcMar>
          </w:tcPr>
          <w:p w14:paraId="549273B6" w14:textId="38C407D7" w:rsidR="007E15DB" w:rsidRPr="008C0DAF" w:rsidRDefault="008C0DAF" w:rsidP="002327AF">
            <w:pPr>
              <w:rPr>
                <w:rFonts w:asciiTheme="majorHAnsi" w:hAnsiTheme="majorHAnsi" w:cstheme="majorHAnsi"/>
                <w:sz w:val="22"/>
                <w:lang w:val="it-IT"/>
              </w:rPr>
            </w:pPr>
            <w:r w:rsidRPr="008C0DAF">
              <w:rPr>
                <w:rFonts w:asciiTheme="majorHAnsi" w:hAnsiTheme="majorHAnsi" w:cstheme="majorHAnsi"/>
                <w:sz w:val="22"/>
                <w:lang w:val="it-IT"/>
              </w:rPr>
              <w:t>Pristup konkretnim uslugama i jasnoća procedura, prava, upotrebe podataka i podrške</w:t>
            </w:r>
          </w:p>
        </w:tc>
        <w:tc>
          <w:tcPr>
            <w:tcW w:w="833" w:type="pct"/>
            <w:tcMar>
              <w:top w:w="60" w:type="dxa"/>
              <w:left w:w="60" w:type="dxa"/>
              <w:bottom w:w="60" w:type="dxa"/>
              <w:right w:w="60" w:type="dxa"/>
            </w:tcMar>
          </w:tcPr>
          <w:p w14:paraId="116DF5DF" w14:textId="66406347" w:rsidR="007E15DB" w:rsidRPr="00611C08" w:rsidRDefault="000F2B6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427E1CF1" w14:textId="624960D7" w:rsidR="007E15DB" w:rsidRPr="00611C08" w:rsidRDefault="000F2B6A"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7B29147A" w14:textId="4DEB52E9" w:rsidR="007E15DB" w:rsidRPr="00611C08" w:rsidRDefault="008C0DAF" w:rsidP="002327AF">
            <w:pPr>
              <w:rPr>
                <w:rFonts w:asciiTheme="majorHAnsi" w:hAnsiTheme="majorHAnsi" w:cstheme="majorHAnsi"/>
                <w:sz w:val="22"/>
              </w:rPr>
            </w:pPr>
            <w:r w:rsidRPr="008C0DAF">
              <w:rPr>
                <w:rFonts w:asciiTheme="majorHAnsi" w:hAnsiTheme="majorHAnsi" w:cstheme="majorHAnsi"/>
                <w:sz w:val="22"/>
              </w:rPr>
              <w:t>Ciljane konsultacije, komunikacija specifična za uslugu, korisnička podrška / mehanizam za žalbe</w:t>
            </w:r>
          </w:p>
        </w:tc>
      </w:tr>
      <w:tr w:rsidR="0055274A" w:rsidRPr="00386B69" w14:paraId="44153180" w14:textId="77777777" w:rsidTr="00D853FA">
        <w:trPr>
          <w:cantSplit/>
          <w:jc w:val="center"/>
        </w:trPr>
        <w:tc>
          <w:tcPr>
            <w:tcW w:w="834" w:type="pct"/>
            <w:tcMar>
              <w:top w:w="60" w:type="dxa"/>
              <w:left w:w="60" w:type="dxa"/>
              <w:bottom w:w="60" w:type="dxa"/>
              <w:right w:w="60" w:type="dxa"/>
            </w:tcMar>
          </w:tcPr>
          <w:p w14:paraId="0B21DA3A" w14:textId="4BE45CE6" w:rsidR="007E15DB" w:rsidRPr="00611C08" w:rsidRDefault="000F2B6A" w:rsidP="002327AF">
            <w:pPr>
              <w:rPr>
                <w:rFonts w:asciiTheme="majorHAnsi" w:hAnsiTheme="majorHAnsi" w:cstheme="majorHAnsi"/>
                <w:sz w:val="22"/>
              </w:rPr>
            </w:pPr>
            <w:r w:rsidRPr="000F2B6A">
              <w:rPr>
                <w:rFonts w:asciiTheme="majorHAnsi" w:hAnsiTheme="majorHAnsi" w:cstheme="majorHAnsi"/>
                <w:sz w:val="22"/>
              </w:rPr>
              <w:t>Strane pogođene projektom</w:t>
            </w:r>
          </w:p>
        </w:tc>
        <w:tc>
          <w:tcPr>
            <w:tcW w:w="833" w:type="pct"/>
            <w:tcMar>
              <w:top w:w="60" w:type="dxa"/>
              <w:left w:w="60" w:type="dxa"/>
              <w:bottom w:w="60" w:type="dxa"/>
              <w:right w:w="60" w:type="dxa"/>
            </w:tcMar>
          </w:tcPr>
          <w:p w14:paraId="2CBD9426" w14:textId="3597D260" w:rsidR="007E15DB" w:rsidRPr="008C0DAF" w:rsidRDefault="008C0DAF" w:rsidP="002327AF">
            <w:pPr>
              <w:rPr>
                <w:rFonts w:asciiTheme="majorHAnsi" w:hAnsiTheme="majorHAnsi" w:cstheme="majorHAnsi"/>
                <w:sz w:val="22"/>
                <w:lang w:val="it-IT"/>
              </w:rPr>
            </w:pPr>
            <w:r w:rsidRPr="008C0DAF">
              <w:rPr>
                <w:rFonts w:asciiTheme="majorHAnsi" w:hAnsiTheme="majorHAnsi" w:cstheme="majorHAnsi"/>
                <w:sz w:val="22"/>
                <w:lang w:val="it-IT"/>
              </w:rPr>
              <w:t>Državni službenici i zaposleni u javnom sektoru</w:t>
            </w:r>
          </w:p>
        </w:tc>
        <w:tc>
          <w:tcPr>
            <w:tcW w:w="833" w:type="pct"/>
            <w:tcMar>
              <w:top w:w="60" w:type="dxa"/>
              <w:left w:w="60" w:type="dxa"/>
              <w:bottom w:w="60" w:type="dxa"/>
              <w:right w:w="60" w:type="dxa"/>
            </w:tcMar>
          </w:tcPr>
          <w:p w14:paraId="7FE94EAB" w14:textId="443C4A31" w:rsidR="007E15DB" w:rsidRPr="008C0DAF" w:rsidRDefault="008C0DAF" w:rsidP="002327AF">
            <w:pPr>
              <w:rPr>
                <w:rFonts w:asciiTheme="majorHAnsi" w:hAnsiTheme="majorHAnsi" w:cstheme="majorHAnsi"/>
                <w:sz w:val="22"/>
                <w:lang w:val="it-IT"/>
              </w:rPr>
            </w:pPr>
            <w:r>
              <w:rPr>
                <w:rFonts w:asciiTheme="majorHAnsi" w:hAnsiTheme="majorHAnsi" w:cstheme="majorHAnsi"/>
                <w:sz w:val="22"/>
                <w:lang w:val="it-IT"/>
              </w:rPr>
              <w:t>P</w:t>
            </w:r>
            <w:r w:rsidRPr="008C0DAF">
              <w:rPr>
                <w:rFonts w:asciiTheme="majorHAnsi" w:hAnsiTheme="majorHAnsi" w:cstheme="majorHAnsi"/>
                <w:sz w:val="22"/>
                <w:lang w:val="it-IT"/>
              </w:rPr>
              <w:t>romene u radnim procesima, automatizacija, izgradnja kapaciteta i uloge u pružanju usluga</w:t>
            </w:r>
          </w:p>
        </w:tc>
        <w:tc>
          <w:tcPr>
            <w:tcW w:w="833" w:type="pct"/>
            <w:tcMar>
              <w:top w:w="60" w:type="dxa"/>
              <w:left w:w="60" w:type="dxa"/>
              <w:bottom w:w="60" w:type="dxa"/>
              <w:right w:w="60" w:type="dxa"/>
            </w:tcMar>
          </w:tcPr>
          <w:p w14:paraId="347BE04C" w14:textId="04A10322" w:rsidR="007E15DB" w:rsidRPr="00611C08" w:rsidRDefault="000F2B6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0F5885ED" w14:textId="3E03AE9F" w:rsidR="007E15DB" w:rsidRPr="00611C08" w:rsidRDefault="000F2B6A"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52167F0F" w14:textId="6FC67CF5" w:rsidR="007E15DB" w:rsidRPr="00611C08" w:rsidRDefault="008C0DAF" w:rsidP="002327AF">
            <w:pPr>
              <w:rPr>
                <w:rFonts w:asciiTheme="majorHAnsi" w:hAnsiTheme="majorHAnsi" w:cstheme="majorHAnsi"/>
                <w:sz w:val="22"/>
              </w:rPr>
            </w:pPr>
            <w:r w:rsidRPr="008C0DAF">
              <w:rPr>
                <w:rFonts w:asciiTheme="majorHAnsi" w:hAnsiTheme="majorHAnsi" w:cstheme="majorHAnsi"/>
                <w:sz w:val="22"/>
              </w:rPr>
              <w:t>Radionice, obuke, interne konsultacije</w:t>
            </w:r>
          </w:p>
        </w:tc>
      </w:tr>
      <w:tr w:rsidR="0055274A" w:rsidRPr="00802EE5" w14:paraId="4A188811" w14:textId="77777777" w:rsidTr="00D853FA">
        <w:trPr>
          <w:cantSplit/>
          <w:jc w:val="center"/>
        </w:trPr>
        <w:tc>
          <w:tcPr>
            <w:tcW w:w="834" w:type="pct"/>
            <w:tcMar>
              <w:top w:w="60" w:type="dxa"/>
              <w:left w:w="60" w:type="dxa"/>
              <w:bottom w:w="60" w:type="dxa"/>
              <w:right w:w="60" w:type="dxa"/>
            </w:tcMar>
          </w:tcPr>
          <w:p w14:paraId="7C18C72D" w14:textId="18DFC96F" w:rsidR="007E15DB" w:rsidRPr="00611C08" w:rsidRDefault="000F2B6A" w:rsidP="002327AF">
            <w:pPr>
              <w:rPr>
                <w:rFonts w:asciiTheme="majorHAnsi" w:hAnsiTheme="majorHAnsi" w:cstheme="majorHAnsi"/>
                <w:sz w:val="22"/>
              </w:rPr>
            </w:pPr>
            <w:r w:rsidRPr="000F2B6A">
              <w:rPr>
                <w:rFonts w:asciiTheme="majorHAnsi" w:hAnsiTheme="majorHAnsi" w:cstheme="majorHAnsi"/>
                <w:sz w:val="22"/>
              </w:rPr>
              <w:t>Strane pogođene projektom</w:t>
            </w:r>
          </w:p>
        </w:tc>
        <w:tc>
          <w:tcPr>
            <w:tcW w:w="833" w:type="pct"/>
            <w:tcMar>
              <w:top w:w="60" w:type="dxa"/>
              <w:left w:w="60" w:type="dxa"/>
              <w:bottom w:w="60" w:type="dxa"/>
              <w:right w:w="60" w:type="dxa"/>
            </w:tcMar>
          </w:tcPr>
          <w:p w14:paraId="5D9DF4B8" w14:textId="7B17521F" w:rsidR="007E15DB" w:rsidRPr="00611C08" w:rsidRDefault="008C0DAF" w:rsidP="002327AF">
            <w:pPr>
              <w:rPr>
                <w:rFonts w:asciiTheme="majorHAnsi" w:hAnsiTheme="majorHAnsi" w:cstheme="majorHAnsi"/>
                <w:sz w:val="22"/>
              </w:rPr>
            </w:pPr>
            <w:r w:rsidRPr="008C0DAF">
              <w:rPr>
                <w:rFonts w:asciiTheme="majorHAnsi" w:hAnsiTheme="majorHAnsi" w:cstheme="majorHAnsi"/>
                <w:sz w:val="22"/>
              </w:rPr>
              <w:t>Ma</w:t>
            </w:r>
            <w:r w:rsidR="00A64870">
              <w:rPr>
                <w:rFonts w:asciiTheme="majorHAnsi" w:hAnsiTheme="majorHAnsi" w:cstheme="majorHAnsi"/>
                <w:sz w:val="22"/>
              </w:rPr>
              <w:t>la i srednja preduzeća, startapovi</w:t>
            </w:r>
            <w:r w:rsidRPr="008C0DAF">
              <w:rPr>
                <w:rFonts w:asciiTheme="majorHAnsi" w:hAnsiTheme="majorHAnsi" w:cstheme="majorHAnsi"/>
                <w:sz w:val="22"/>
              </w:rPr>
              <w:t>, GovTech pružaoci usluga, kompanije iz oblasti veštačke inteligencije i sajber bezbednost</w:t>
            </w:r>
          </w:p>
        </w:tc>
        <w:tc>
          <w:tcPr>
            <w:tcW w:w="833" w:type="pct"/>
            <w:tcMar>
              <w:top w:w="60" w:type="dxa"/>
              <w:left w:w="60" w:type="dxa"/>
              <w:bottom w:w="60" w:type="dxa"/>
              <w:right w:w="60" w:type="dxa"/>
            </w:tcMar>
          </w:tcPr>
          <w:p w14:paraId="0FC21BED" w14:textId="3C142B4F" w:rsidR="007E15DB" w:rsidRPr="00611C08" w:rsidRDefault="008C0DAF" w:rsidP="002327AF">
            <w:pPr>
              <w:rPr>
                <w:rFonts w:asciiTheme="majorHAnsi" w:hAnsiTheme="majorHAnsi" w:cstheme="majorHAnsi"/>
                <w:sz w:val="22"/>
              </w:rPr>
            </w:pPr>
            <w:r>
              <w:rPr>
                <w:rFonts w:asciiTheme="majorHAnsi" w:hAnsiTheme="majorHAnsi" w:cstheme="majorHAnsi"/>
                <w:sz w:val="22"/>
              </w:rPr>
              <w:t>Pr</w:t>
            </w:r>
            <w:r w:rsidRPr="008C0DAF">
              <w:rPr>
                <w:rFonts w:asciiTheme="majorHAnsi" w:hAnsiTheme="majorHAnsi" w:cstheme="majorHAnsi"/>
                <w:sz w:val="22"/>
              </w:rPr>
              <w:t>istup mogućnostima podržanim projektom, digitalnom tržištu i razvoju AI/sajber ekosistema</w:t>
            </w:r>
          </w:p>
        </w:tc>
        <w:tc>
          <w:tcPr>
            <w:tcW w:w="833" w:type="pct"/>
            <w:tcMar>
              <w:top w:w="60" w:type="dxa"/>
              <w:left w:w="60" w:type="dxa"/>
              <w:bottom w:w="60" w:type="dxa"/>
              <w:right w:w="60" w:type="dxa"/>
            </w:tcMar>
          </w:tcPr>
          <w:p w14:paraId="24B607D9" w14:textId="4A7DD08C" w:rsidR="007E15DB" w:rsidRPr="00611C08" w:rsidRDefault="00523023"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7657E4DF" w14:textId="385CAFFF" w:rsidR="007E15DB" w:rsidRPr="00611C08" w:rsidRDefault="00523023"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24F4456F" w14:textId="47BFD652" w:rsidR="007E15DB" w:rsidRPr="00523023" w:rsidRDefault="00523023" w:rsidP="002327AF">
            <w:pPr>
              <w:rPr>
                <w:rFonts w:asciiTheme="majorHAnsi" w:hAnsiTheme="majorHAnsi" w:cstheme="majorHAnsi"/>
                <w:sz w:val="22"/>
                <w:lang w:val="it-IT"/>
              </w:rPr>
            </w:pPr>
            <w:r>
              <w:rPr>
                <w:rFonts w:asciiTheme="majorHAnsi" w:hAnsiTheme="majorHAnsi" w:cstheme="majorHAnsi"/>
                <w:sz w:val="22"/>
                <w:lang w:val="it-IT"/>
              </w:rPr>
              <w:t>Inf</w:t>
            </w:r>
            <w:r w:rsidRPr="00523023">
              <w:rPr>
                <w:rFonts w:asciiTheme="majorHAnsi" w:hAnsiTheme="majorHAnsi" w:cstheme="majorHAnsi"/>
                <w:sz w:val="22"/>
                <w:lang w:val="it-IT"/>
              </w:rPr>
              <w:t>ormisanje, konsultacije, ankete za povratne informacije</w:t>
            </w:r>
          </w:p>
        </w:tc>
      </w:tr>
      <w:tr w:rsidR="0055274A" w:rsidRPr="00802EE5" w14:paraId="6059C914" w14:textId="77777777" w:rsidTr="00D853FA">
        <w:trPr>
          <w:cantSplit/>
          <w:jc w:val="center"/>
        </w:trPr>
        <w:tc>
          <w:tcPr>
            <w:tcW w:w="834" w:type="pct"/>
            <w:tcMar>
              <w:top w:w="60" w:type="dxa"/>
              <w:left w:w="60" w:type="dxa"/>
              <w:bottom w:w="60" w:type="dxa"/>
              <w:right w:w="60" w:type="dxa"/>
            </w:tcMar>
          </w:tcPr>
          <w:p w14:paraId="2A28DEBA" w14:textId="4989F83E" w:rsidR="007E15DB" w:rsidRPr="00611C08" w:rsidRDefault="000F2B6A" w:rsidP="002327AF">
            <w:pPr>
              <w:rPr>
                <w:rFonts w:asciiTheme="majorHAnsi" w:hAnsiTheme="majorHAnsi" w:cstheme="majorHAnsi"/>
                <w:sz w:val="22"/>
              </w:rPr>
            </w:pPr>
            <w:r w:rsidRPr="000F2B6A">
              <w:rPr>
                <w:rFonts w:asciiTheme="majorHAnsi" w:hAnsiTheme="majorHAnsi" w:cstheme="majorHAnsi"/>
                <w:sz w:val="22"/>
              </w:rPr>
              <w:t>Strane pogođene projektom</w:t>
            </w:r>
          </w:p>
        </w:tc>
        <w:tc>
          <w:tcPr>
            <w:tcW w:w="833" w:type="pct"/>
            <w:tcMar>
              <w:top w:w="60" w:type="dxa"/>
              <w:left w:w="60" w:type="dxa"/>
              <w:bottom w:w="60" w:type="dxa"/>
              <w:right w:w="60" w:type="dxa"/>
            </w:tcMar>
          </w:tcPr>
          <w:p w14:paraId="7CF54448" w14:textId="1126904F" w:rsidR="007E15DB" w:rsidRPr="00611C08" w:rsidRDefault="00523023" w:rsidP="002327AF">
            <w:pPr>
              <w:rPr>
                <w:rFonts w:asciiTheme="majorHAnsi" w:hAnsiTheme="majorHAnsi" w:cstheme="majorHAnsi"/>
                <w:sz w:val="22"/>
              </w:rPr>
            </w:pPr>
            <w:r>
              <w:rPr>
                <w:rFonts w:asciiTheme="majorHAnsi" w:hAnsiTheme="majorHAnsi" w:cstheme="majorHAnsi"/>
                <w:sz w:val="22"/>
              </w:rPr>
              <w:t>Učesnici obuka</w:t>
            </w:r>
          </w:p>
        </w:tc>
        <w:tc>
          <w:tcPr>
            <w:tcW w:w="833" w:type="pct"/>
            <w:tcMar>
              <w:top w:w="60" w:type="dxa"/>
              <w:left w:w="60" w:type="dxa"/>
              <w:bottom w:w="60" w:type="dxa"/>
              <w:right w:w="60" w:type="dxa"/>
            </w:tcMar>
          </w:tcPr>
          <w:p w14:paraId="68497FA1" w14:textId="0EF1AD01" w:rsidR="007E15DB" w:rsidRPr="00611C08" w:rsidRDefault="00523023" w:rsidP="002327AF">
            <w:pPr>
              <w:rPr>
                <w:rFonts w:asciiTheme="majorHAnsi" w:hAnsiTheme="majorHAnsi" w:cstheme="majorHAnsi"/>
                <w:sz w:val="22"/>
              </w:rPr>
            </w:pPr>
            <w:r>
              <w:rPr>
                <w:rFonts w:asciiTheme="majorHAnsi" w:hAnsiTheme="majorHAnsi" w:cstheme="majorHAnsi"/>
                <w:sz w:val="22"/>
              </w:rPr>
              <w:t>Pr</w:t>
            </w:r>
            <w:r w:rsidRPr="00523023">
              <w:rPr>
                <w:rFonts w:asciiTheme="majorHAnsi" w:hAnsiTheme="majorHAnsi" w:cstheme="majorHAnsi"/>
                <w:sz w:val="22"/>
              </w:rPr>
              <w:t>istup razvoju veština, mogućnostima zapošljavanja ili</w:t>
            </w:r>
            <w:r>
              <w:rPr>
                <w:rFonts w:asciiTheme="majorHAnsi" w:hAnsiTheme="majorHAnsi" w:cstheme="majorHAnsi"/>
                <w:sz w:val="22"/>
              </w:rPr>
              <w:t xml:space="preserve"> preduzetništva</w:t>
            </w:r>
          </w:p>
        </w:tc>
        <w:tc>
          <w:tcPr>
            <w:tcW w:w="833" w:type="pct"/>
            <w:tcMar>
              <w:top w:w="60" w:type="dxa"/>
              <w:left w:w="60" w:type="dxa"/>
              <w:bottom w:w="60" w:type="dxa"/>
              <w:right w:w="60" w:type="dxa"/>
            </w:tcMar>
          </w:tcPr>
          <w:p w14:paraId="66B23EE5" w14:textId="743F4844" w:rsidR="007E15DB" w:rsidRPr="00611C08" w:rsidRDefault="00523023"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5F23B73F" w14:textId="188538A4" w:rsidR="007E15DB" w:rsidRPr="00611C08" w:rsidRDefault="00523023" w:rsidP="002327AF">
            <w:pPr>
              <w:rPr>
                <w:rFonts w:asciiTheme="majorHAnsi" w:hAnsiTheme="majorHAnsi" w:cstheme="majorHAnsi"/>
                <w:sz w:val="22"/>
              </w:rPr>
            </w:pPr>
            <w:r>
              <w:rPr>
                <w:rFonts w:asciiTheme="majorHAnsi" w:hAnsiTheme="majorHAnsi" w:cstheme="majorHAnsi"/>
                <w:sz w:val="22"/>
              </w:rPr>
              <w:t>Nizak</w:t>
            </w:r>
          </w:p>
        </w:tc>
        <w:tc>
          <w:tcPr>
            <w:tcW w:w="833" w:type="pct"/>
            <w:tcMar>
              <w:top w:w="60" w:type="dxa"/>
              <w:left w:w="60" w:type="dxa"/>
              <w:bottom w:w="60" w:type="dxa"/>
              <w:right w:w="60" w:type="dxa"/>
            </w:tcMar>
          </w:tcPr>
          <w:p w14:paraId="7839E6D7" w14:textId="19EA36FB" w:rsidR="007E15DB" w:rsidRPr="00523023" w:rsidRDefault="00523023" w:rsidP="002327AF">
            <w:pPr>
              <w:rPr>
                <w:rFonts w:asciiTheme="majorHAnsi" w:hAnsiTheme="majorHAnsi" w:cstheme="majorHAnsi"/>
                <w:sz w:val="22"/>
                <w:lang w:val="it-IT"/>
              </w:rPr>
            </w:pPr>
            <w:r>
              <w:rPr>
                <w:rFonts w:asciiTheme="majorHAnsi" w:hAnsiTheme="majorHAnsi" w:cstheme="majorHAnsi"/>
                <w:sz w:val="22"/>
                <w:lang w:val="it-IT"/>
              </w:rPr>
              <w:t>I</w:t>
            </w:r>
            <w:r w:rsidRPr="00523023">
              <w:rPr>
                <w:rFonts w:asciiTheme="majorHAnsi" w:hAnsiTheme="majorHAnsi" w:cstheme="majorHAnsi"/>
                <w:sz w:val="22"/>
                <w:lang w:val="it-IT"/>
              </w:rPr>
              <w:t>nformisanje, konsultacije, ankete za povratne informacije</w:t>
            </w:r>
          </w:p>
        </w:tc>
      </w:tr>
      <w:tr w:rsidR="0055274A" w:rsidRPr="00802EE5" w14:paraId="07125390" w14:textId="77777777" w:rsidTr="00D853FA">
        <w:trPr>
          <w:cantSplit/>
          <w:jc w:val="center"/>
        </w:trPr>
        <w:tc>
          <w:tcPr>
            <w:tcW w:w="834" w:type="pct"/>
            <w:tcMar>
              <w:top w:w="60" w:type="dxa"/>
              <w:left w:w="60" w:type="dxa"/>
              <w:bottom w:w="60" w:type="dxa"/>
              <w:right w:w="60" w:type="dxa"/>
            </w:tcMar>
          </w:tcPr>
          <w:p w14:paraId="6F83F195" w14:textId="0EB56780" w:rsidR="007E15DB" w:rsidRPr="00611C08" w:rsidRDefault="0055274A" w:rsidP="002327AF">
            <w:pPr>
              <w:rPr>
                <w:rFonts w:asciiTheme="majorHAnsi" w:hAnsiTheme="majorHAnsi" w:cstheme="majorHAnsi"/>
                <w:sz w:val="22"/>
              </w:rPr>
            </w:pPr>
            <w:r>
              <w:rPr>
                <w:rFonts w:asciiTheme="majorHAnsi" w:hAnsiTheme="majorHAnsi" w:cstheme="majorHAnsi"/>
                <w:sz w:val="22"/>
              </w:rPr>
              <w:lastRenderedPageBreak/>
              <w:t>Ugrožene/ranjive grupe</w:t>
            </w:r>
          </w:p>
        </w:tc>
        <w:tc>
          <w:tcPr>
            <w:tcW w:w="833" w:type="pct"/>
            <w:tcMar>
              <w:top w:w="60" w:type="dxa"/>
              <w:left w:w="60" w:type="dxa"/>
              <w:bottom w:w="60" w:type="dxa"/>
              <w:right w:w="60" w:type="dxa"/>
            </w:tcMar>
          </w:tcPr>
          <w:p w14:paraId="33D7E1DB" w14:textId="78A424C0" w:rsidR="007E15DB" w:rsidRPr="00611C08" w:rsidRDefault="0055274A" w:rsidP="002327AF">
            <w:pPr>
              <w:rPr>
                <w:rFonts w:asciiTheme="majorHAnsi" w:hAnsiTheme="majorHAnsi" w:cstheme="majorHAnsi"/>
                <w:sz w:val="22"/>
              </w:rPr>
            </w:pPr>
            <w:r w:rsidRPr="0055274A">
              <w:rPr>
                <w:rFonts w:asciiTheme="majorHAnsi" w:hAnsiTheme="majorHAnsi" w:cstheme="majorHAnsi"/>
                <w:sz w:val="22"/>
              </w:rPr>
              <w:t>Starije osobe, osobe sa invaliditetom, stanovništvo u ruralnim područjima, domaćinstva sa niskim prihodima, osobe sa niskim nivoom digitalne pismenost</w:t>
            </w:r>
          </w:p>
        </w:tc>
        <w:tc>
          <w:tcPr>
            <w:tcW w:w="833" w:type="pct"/>
            <w:tcMar>
              <w:top w:w="60" w:type="dxa"/>
              <w:left w:w="60" w:type="dxa"/>
              <w:bottom w:w="60" w:type="dxa"/>
              <w:right w:w="60" w:type="dxa"/>
            </w:tcMar>
          </w:tcPr>
          <w:p w14:paraId="7C006ACB" w14:textId="46662C07" w:rsidR="007E15DB" w:rsidRPr="0055274A" w:rsidRDefault="0055274A" w:rsidP="002327AF">
            <w:pPr>
              <w:rPr>
                <w:rFonts w:asciiTheme="majorHAnsi" w:hAnsiTheme="majorHAnsi" w:cstheme="majorHAnsi"/>
                <w:sz w:val="22"/>
                <w:lang w:val="it-IT"/>
              </w:rPr>
            </w:pPr>
            <w:r w:rsidRPr="0055274A">
              <w:rPr>
                <w:rFonts w:asciiTheme="majorHAnsi" w:hAnsiTheme="majorHAnsi" w:cstheme="majorHAnsi"/>
                <w:sz w:val="22"/>
                <w:lang w:val="it-IT"/>
              </w:rPr>
              <w:t>Pristupačne usluge, asistirani kanali, razumljive informacije, sprečavanje isključenosti</w:t>
            </w:r>
          </w:p>
        </w:tc>
        <w:tc>
          <w:tcPr>
            <w:tcW w:w="833" w:type="pct"/>
            <w:tcMar>
              <w:top w:w="60" w:type="dxa"/>
              <w:left w:w="60" w:type="dxa"/>
              <w:bottom w:w="60" w:type="dxa"/>
              <w:right w:w="60" w:type="dxa"/>
            </w:tcMar>
          </w:tcPr>
          <w:p w14:paraId="370DDE97" w14:textId="09071D81" w:rsidR="007E15DB" w:rsidRPr="00611C08" w:rsidRDefault="0055274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2A210F9D" w14:textId="52FBAB9D" w:rsidR="007E15DB" w:rsidRPr="00611C08" w:rsidRDefault="0055274A" w:rsidP="002327AF">
            <w:pPr>
              <w:rPr>
                <w:rFonts w:asciiTheme="majorHAnsi" w:hAnsiTheme="majorHAnsi" w:cstheme="majorHAnsi"/>
                <w:sz w:val="22"/>
              </w:rPr>
            </w:pPr>
            <w:r>
              <w:rPr>
                <w:rFonts w:asciiTheme="majorHAnsi" w:hAnsiTheme="majorHAnsi" w:cstheme="majorHAnsi"/>
                <w:sz w:val="22"/>
              </w:rPr>
              <w:t>Nizak</w:t>
            </w:r>
          </w:p>
        </w:tc>
        <w:tc>
          <w:tcPr>
            <w:tcW w:w="833" w:type="pct"/>
            <w:tcMar>
              <w:top w:w="60" w:type="dxa"/>
              <w:left w:w="60" w:type="dxa"/>
              <w:bottom w:w="60" w:type="dxa"/>
              <w:right w:w="60" w:type="dxa"/>
            </w:tcMar>
          </w:tcPr>
          <w:p w14:paraId="5160BBD2" w14:textId="19409BCC" w:rsidR="007E15DB" w:rsidRPr="0055274A" w:rsidRDefault="0055274A" w:rsidP="002327AF">
            <w:pPr>
              <w:rPr>
                <w:rFonts w:asciiTheme="majorHAnsi" w:hAnsiTheme="majorHAnsi" w:cstheme="majorHAnsi"/>
                <w:sz w:val="22"/>
                <w:lang w:val="it-IT"/>
              </w:rPr>
            </w:pPr>
            <w:r w:rsidRPr="0055274A">
              <w:rPr>
                <w:rFonts w:asciiTheme="majorHAnsi" w:hAnsiTheme="majorHAnsi" w:cstheme="majorHAnsi"/>
                <w:sz w:val="22"/>
                <w:lang w:val="it-IT"/>
              </w:rPr>
              <w:t>Ciljano informisanje, pristupačni materijali, fokus grupe, asistirani kanali za povratne informacije</w:t>
            </w:r>
          </w:p>
        </w:tc>
      </w:tr>
      <w:tr w:rsidR="0055274A" w:rsidRPr="00386B69" w14:paraId="0B18DF33" w14:textId="77777777" w:rsidTr="00D853FA">
        <w:trPr>
          <w:cantSplit/>
          <w:jc w:val="center"/>
        </w:trPr>
        <w:tc>
          <w:tcPr>
            <w:tcW w:w="834" w:type="pct"/>
            <w:tcMar>
              <w:top w:w="60" w:type="dxa"/>
              <w:left w:w="60" w:type="dxa"/>
              <w:bottom w:w="60" w:type="dxa"/>
              <w:right w:w="60" w:type="dxa"/>
            </w:tcMar>
          </w:tcPr>
          <w:p w14:paraId="651C80D8" w14:textId="7298AB12" w:rsidR="007E15DB" w:rsidRPr="00611C08" w:rsidRDefault="0055274A"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1187CDE4" w14:textId="719A73AE" w:rsidR="007E15DB" w:rsidRPr="00611C08" w:rsidRDefault="00811B0E" w:rsidP="00862045">
            <w:pPr>
              <w:rPr>
                <w:rFonts w:asciiTheme="majorHAnsi" w:hAnsiTheme="majorHAnsi" w:cstheme="majorHAnsi"/>
                <w:sz w:val="22"/>
              </w:rPr>
            </w:pPr>
            <w:r w:rsidRPr="00611C08">
              <w:rPr>
                <w:rFonts w:asciiTheme="majorHAnsi" w:hAnsiTheme="majorHAnsi" w:cstheme="majorHAnsi"/>
                <w:sz w:val="22"/>
              </w:rPr>
              <w:t xml:space="preserve">OITEG </w:t>
            </w:r>
            <w:r w:rsidR="00862045">
              <w:rPr>
                <w:rFonts w:asciiTheme="majorHAnsi" w:hAnsiTheme="majorHAnsi" w:cstheme="majorHAnsi"/>
                <w:sz w:val="22"/>
              </w:rPr>
              <w:t>i</w:t>
            </w:r>
            <w:r w:rsidRPr="00611C08">
              <w:rPr>
                <w:rFonts w:asciiTheme="majorHAnsi" w:hAnsiTheme="majorHAnsi" w:cstheme="majorHAnsi"/>
                <w:sz w:val="22"/>
              </w:rPr>
              <w:t xml:space="preserve"> PIU</w:t>
            </w:r>
          </w:p>
        </w:tc>
        <w:tc>
          <w:tcPr>
            <w:tcW w:w="833" w:type="pct"/>
            <w:tcMar>
              <w:top w:w="60" w:type="dxa"/>
              <w:left w:w="60" w:type="dxa"/>
              <w:bottom w:w="60" w:type="dxa"/>
              <w:right w:w="60" w:type="dxa"/>
            </w:tcMar>
          </w:tcPr>
          <w:p w14:paraId="21F25B21" w14:textId="561F2FBA" w:rsidR="007E15DB" w:rsidRPr="00611C08" w:rsidRDefault="00B4456D" w:rsidP="002327AF">
            <w:pPr>
              <w:rPr>
                <w:rFonts w:asciiTheme="majorHAnsi" w:hAnsiTheme="majorHAnsi" w:cstheme="majorHAnsi"/>
                <w:sz w:val="22"/>
              </w:rPr>
            </w:pPr>
            <w:r>
              <w:rPr>
                <w:rFonts w:asciiTheme="majorHAnsi" w:hAnsiTheme="majorHAnsi" w:cstheme="majorHAnsi"/>
                <w:sz w:val="22"/>
              </w:rPr>
              <w:t>I</w:t>
            </w:r>
            <w:r w:rsidRPr="00B4456D">
              <w:rPr>
                <w:rFonts w:asciiTheme="majorHAnsi" w:hAnsiTheme="majorHAnsi" w:cstheme="majorHAnsi"/>
                <w:sz w:val="22"/>
              </w:rPr>
              <w:t>mplementacija projekta, koordinacija, praćenje, uključivanje zainteresovanih strana, mehanizam za žalbe</w:t>
            </w:r>
          </w:p>
        </w:tc>
        <w:tc>
          <w:tcPr>
            <w:tcW w:w="833" w:type="pct"/>
            <w:tcMar>
              <w:top w:w="60" w:type="dxa"/>
              <w:left w:w="60" w:type="dxa"/>
              <w:bottom w:w="60" w:type="dxa"/>
              <w:right w:w="60" w:type="dxa"/>
            </w:tcMar>
          </w:tcPr>
          <w:p w14:paraId="699EB669" w14:textId="590A02DC" w:rsidR="007E15DB" w:rsidRPr="00611C08" w:rsidRDefault="00B4456D"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08C8C78B" w14:textId="73E2AB4B" w:rsidR="007E15DB" w:rsidRPr="00611C08" w:rsidRDefault="00B4456D"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199BDA78" w14:textId="744CEC65" w:rsidR="007E15DB" w:rsidRPr="00611C08" w:rsidRDefault="00B4456D" w:rsidP="002327AF">
            <w:pPr>
              <w:rPr>
                <w:rFonts w:asciiTheme="majorHAnsi" w:hAnsiTheme="majorHAnsi" w:cstheme="majorHAnsi"/>
                <w:sz w:val="22"/>
              </w:rPr>
            </w:pPr>
            <w:r>
              <w:rPr>
                <w:rFonts w:asciiTheme="majorHAnsi" w:hAnsiTheme="majorHAnsi" w:cstheme="majorHAnsi"/>
                <w:sz w:val="22"/>
              </w:rPr>
              <w:t>Partnerstvo, kontinuirana koordinacija</w:t>
            </w:r>
          </w:p>
        </w:tc>
      </w:tr>
      <w:tr w:rsidR="0055274A" w:rsidRPr="00386B69" w14:paraId="0A339F03" w14:textId="77777777" w:rsidTr="00D853FA">
        <w:trPr>
          <w:cantSplit/>
          <w:jc w:val="center"/>
        </w:trPr>
        <w:tc>
          <w:tcPr>
            <w:tcW w:w="834" w:type="pct"/>
            <w:tcMar>
              <w:top w:w="60" w:type="dxa"/>
              <w:left w:w="60" w:type="dxa"/>
              <w:bottom w:w="60" w:type="dxa"/>
              <w:right w:w="60" w:type="dxa"/>
            </w:tcMar>
          </w:tcPr>
          <w:p w14:paraId="54376471" w14:textId="61A1C359" w:rsidR="007E15DB" w:rsidRPr="00611C08" w:rsidRDefault="00B4456D"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6C1536BD" w14:textId="7D07861C" w:rsidR="007E15DB" w:rsidRPr="00611C08" w:rsidRDefault="00B4456D" w:rsidP="002327AF">
            <w:pPr>
              <w:rPr>
                <w:rFonts w:asciiTheme="majorHAnsi" w:hAnsiTheme="majorHAnsi" w:cstheme="majorHAnsi"/>
                <w:sz w:val="22"/>
              </w:rPr>
            </w:pPr>
            <w:r>
              <w:rPr>
                <w:rFonts w:asciiTheme="majorHAnsi" w:hAnsiTheme="majorHAnsi" w:cstheme="majorHAnsi"/>
                <w:sz w:val="22"/>
              </w:rPr>
              <w:t>Ministarstvo finansija</w:t>
            </w:r>
          </w:p>
        </w:tc>
        <w:tc>
          <w:tcPr>
            <w:tcW w:w="833" w:type="pct"/>
            <w:tcMar>
              <w:top w:w="60" w:type="dxa"/>
              <w:left w:w="60" w:type="dxa"/>
              <w:bottom w:w="60" w:type="dxa"/>
              <w:right w:w="60" w:type="dxa"/>
            </w:tcMar>
          </w:tcPr>
          <w:p w14:paraId="04E1DBE3" w14:textId="73B8226F" w:rsidR="007E15DB" w:rsidRPr="00B4456D" w:rsidRDefault="00B4456D" w:rsidP="002327AF">
            <w:pPr>
              <w:rPr>
                <w:rFonts w:asciiTheme="majorHAnsi" w:hAnsiTheme="majorHAnsi" w:cstheme="majorHAnsi"/>
                <w:sz w:val="22"/>
                <w:lang w:val="it-IT"/>
              </w:rPr>
            </w:pPr>
            <w:r w:rsidRPr="00B4456D">
              <w:rPr>
                <w:rFonts w:asciiTheme="majorHAnsi" w:hAnsiTheme="majorHAnsi" w:cstheme="majorHAnsi"/>
                <w:sz w:val="22"/>
                <w:lang w:val="it-IT"/>
              </w:rPr>
              <w:t>Nadzor zajmoprimca, finansiranje, fiducijarna i institucionalna koordinacija</w:t>
            </w:r>
          </w:p>
        </w:tc>
        <w:tc>
          <w:tcPr>
            <w:tcW w:w="833" w:type="pct"/>
            <w:tcMar>
              <w:top w:w="60" w:type="dxa"/>
              <w:left w:w="60" w:type="dxa"/>
              <w:bottom w:w="60" w:type="dxa"/>
              <w:right w:w="60" w:type="dxa"/>
            </w:tcMar>
          </w:tcPr>
          <w:p w14:paraId="67BD443E" w14:textId="4DF44365" w:rsidR="007E15DB" w:rsidRPr="00611C08" w:rsidRDefault="00B4456D"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62EFE1E0" w14:textId="4A4A7DF1" w:rsidR="007E15DB" w:rsidRPr="00611C08" w:rsidRDefault="00B4456D"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27B94909" w14:textId="050D5F4A" w:rsidR="007E15DB" w:rsidRPr="00611C08" w:rsidRDefault="00B4456D" w:rsidP="002327AF">
            <w:pPr>
              <w:rPr>
                <w:rFonts w:asciiTheme="majorHAnsi" w:hAnsiTheme="majorHAnsi" w:cstheme="majorHAnsi"/>
                <w:sz w:val="22"/>
              </w:rPr>
            </w:pPr>
            <w:r w:rsidRPr="00B4456D">
              <w:rPr>
                <w:rFonts w:asciiTheme="majorHAnsi" w:hAnsiTheme="majorHAnsi" w:cstheme="majorHAnsi"/>
                <w:sz w:val="22"/>
              </w:rPr>
              <w:t>Partnerstvo, formalna koordinacija</w:t>
            </w:r>
          </w:p>
        </w:tc>
      </w:tr>
      <w:tr w:rsidR="0055274A" w:rsidRPr="00386B69" w14:paraId="03BD5135" w14:textId="77777777" w:rsidTr="00D853FA">
        <w:trPr>
          <w:cantSplit/>
          <w:jc w:val="center"/>
        </w:trPr>
        <w:tc>
          <w:tcPr>
            <w:tcW w:w="834" w:type="pct"/>
            <w:tcMar>
              <w:top w:w="60" w:type="dxa"/>
              <w:left w:w="60" w:type="dxa"/>
              <w:bottom w:w="60" w:type="dxa"/>
              <w:right w:w="60" w:type="dxa"/>
            </w:tcMar>
          </w:tcPr>
          <w:p w14:paraId="7967E72A" w14:textId="3C18FA0B" w:rsidR="007E15DB" w:rsidRPr="00611C08" w:rsidRDefault="006057CA"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221C357D" w14:textId="76C0EC37" w:rsidR="007E15DB" w:rsidRPr="006057CA" w:rsidRDefault="006057CA" w:rsidP="002327AF">
            <w:pPr>
              <w:rPr>
                <w:rFonts w:asciiTheme="majorHAnsi" w:hAnsiTheme="majorHAnsi" w:cstheme="majorHAnsi"/>
                <w:sz w:val="22"/>
                <w:lang w:val="it-IT"/>
              </w:rPr>
            </w:pPr>
            <w:r>
              <w:rPr>
                <w:rFonts w:asciiTheme="majorHAnsi" w:hAnsiTheme="majorHAnsi" w:cstheme="majorHAnsi"/>
                <w:sz w:val="22"/>
                <w:lang w:val="it-IT"/>
              </w:rPr>
              <w:t>Mi</w:t>
            </w:r>
            <w:r w:rsidRPr="006057CA">
              <w:rPr>
                <w:rFonts w:asciiTheme="majorHAnsi" w:hAnsiTheme="majorHAnsi" w:cstheme="majorHAnsi"/>
                <w:sz w:val="22"/>
                <w:lang w:val="it-IT"/>
              </w:rPr>
              <w:t>nistarstvo unutrašnjih poslova i Republički fond za zdravstveno osiguranje</w:t>
            </w:r>
          </w:p>
        </w:tc>
        <w:tc>
          <w:tcPr>
            <w:tcW w:w="833" w:type="pct"/>
            <w:tcMar>
              <w:top w:w="60" w:type="dxa"/>
              <w:left w:w="60" w:type="dxa"/>
              <w:bottom w:w="60" w:type="dxa"/>
              <w:right w:w="60" w:type="dxa"/>
            </w:tcMar>
          </w:tcPr>
          <w:p w14:paraId="2F3CC05F" w14:textId="3F9F9036" w:rsidR="007E15DB" w:rsidRPr="006057CA" w:rsidRDefault="006057CA" w:rsidP="002327AF">
            <w:pPr>
              <w:rPr>
                <w:rFonts w:asciiTheme="majorHAnsi" w:hAnsiTheme="majorHAnsi" w:cstheme="majorHAnsi"/>
                <w:sz w:val="22"/>
                <w:lang w:val="it-IT"/>
              </w:rPr>
            </w:pPr>
            <w:r>
              <w:rPr>
                <w:rFonts w:asciiTheme="majorHAnsi" w:hAnsiTheme="majorHAnsi" w:cstheme="majorHAnsi"/>
                <w:sz w:val="22"/>
                <w:lang w:val="it-IT"/>
              </w:rPr>
              <w:t>I</w:t>
            </w:r>
            <w:r w:rsidRPr="006057CA">
              <w:rPr>
                <w:rFonts w:asciiTheme="majorHAnsi" w:hAnsiTheme="majorHAnsi" w:cstheme="majorHAnsi"/>
                <w:sz w:val="22"/>
                <w:lang w:val="it-IT"/>
              </w:rPr>
              <w:t>mplementacija prioritetnih slučajeva upotrebe Digitalnog novčanika i transformacija usluga</w:t>
            </w:r>
          </w:p>
        </w:tc>
        <w:tc>
          <w:tcPr>
            <w:tcW w:w="833" w:type="pct"/>
            <w:tcMar>
              <w:top w:w="60" w:type="dxa"/>
              <w:left w:w="60" w:type="dxa"/>
              <w:bottom w:w="60" w:type="dxa"/>
              <w:right w:w="60" w:type="dxa"/>
            </w:tcMar>
          </w:tcPr>
          <w:p w14:paraId="48ACCCAF" w14:textId="5DA34424" w:rsidR="007E15DB" w:rsidRPr="00611C08" w:rsidRDefault="006057C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28353D0D" w14:textId="7E537F3F" w:rsidR="007E15DB" w:rsidRPr="00611C08" w:rsidRDefault="006057C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1D73EFA5" w14:textId="760523D3" w:rsidR="007E15DB" w:rsidRPr="00611C08" w:rsidRDefault="006057CA" w:rsidP="002327AF">
            <w:pPr>
              <w:rPr>
                <w:rFonts w:asciiTheme="majorHAnsi" w:hAnsiTheme="majorHAnsi" w:cstheme="majorHAnsi"/>
                <w:sz w:val="22"/>
              </w:rPr>
            </w:pPr>
            <w:r>
              <w:rPr>
                <w:rFonts w:asciiTheme="majorHAnsi" w:hAnsiTheme="majorHAnsi" w:cstheme="majorHAnsi"/>
                <w:sz w:val="22"/>
              </w:rPr>
              <w:t>P</w:t>
            </w:r>
            <w:r w:rsidRPr="006057CA">
              <w:rPr>
                <w:rFonts w:asciiTheme="majorHAnsi" w:hAnsiTheme="majorHAnsi" w:cstheme="majorHAnsi"/>
                <w:sz w:val="22"/>
              </w:rPr>
              <w:t>artnerstvo, tehnički radni sastanci, podrška uključivanju zainteresovanih strana</w:t>
            </w:r>
          </w:p>
        </w:tc>
      </w:tr>
      <w:tr w:rsidR="0055274A" w:rsidRPr="00386B69" w14:paraId="158EC9F6" w14:textId="77777777" w:rsidTr="00D853FA">
        <w:trPr>
          <w:cantSplit/>
          <w:jc w:val="center"/>
        </w:trPr>
        <w:tc>
          <w:tcPr>
            <w:tcW w:w="834" w:type="pct"/>
            <w:tcMar>
              <w:top w:w="60" w:type="dxa"/>
              <w:left w:w="60" w:type="dxa"/>
              <w:bottom w:w="60" w:type="dxa"/>
              <w:right w:w="60" w:type="dxa"/>
            </w:tcMar>
          </w:tcPr>
          <w:p w14:paraId="10E0FD94" w14:textId="176F33A0" w:rsidR="007E15DB" w:rsidRPr="00611C08" w:rsidRDefault="006057CA"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226CC765" w14:textId="3788309E" w:rsidR="007E15DB" w:rsidRPr="00611C08" w:rsidRDefault="006057CA" w:rsidP="002327AF">
            <w:pPr>
              <w:rPr>
                <w:rFonts w:asciiTheme="majorHAnsi" w:hAnsiTheme="majorHAnsi" w:cstheme="majorHAnsi"/>
                <w:sz w:val="22"/>
              </w:rPr>
            </w:pPr>
            <w:r w:rsidRPr="006057CA">
              <w:rPr>
                <w:rFonts w:asciiTheme="majorHAnsi" w:hAnsiTheme="majorHAnsi" w:cstheme="majorHAnsi"/>
                <w:sz w:val="22"/>
              </w:rPr>
              <w:t>Ministarstvo informisanja i telekomunikacija, RATEL, organi nadležni za zaštitu podataka i sajber bezbednost</w:t>
            </w:r>
          </w:p>
        </w:tc>
        <w:tc>
          <w:tcPr>
            <w:tcW w:w="833" w:type="pct"/>
            <w:tcMar>
              <w:top w:w="60" w:type="dxa"/>
              <w:left w:w="60" w:type="dxa"/>
              <w:bottom w:w="60" w:type="dxa"/>
              <w:right w:w="60" w:type="dxa"/>
            </w:tcMar>
          </w:tcPr>
          <w:p w14:paraId="422A431C" w14:textId="6B29FC8D" w:rsidR="007E15DB" w:rsidRPr="00611C08" w:rsidRDefault="006057CA" w:rsidP="002327AF">
            <w:pPr>
              <w:rPr>
                <w:rFonts w:asciiTheme="majorHAnsi" w:hAnsiTheme="majorHAnsi" w:cstheme="majorHAnsi"/>
                <w:sz w:val="22"/>
              </w:rPr>
            </w:pPr>
            <w:r w:rsidRPr="006057CA">
              <w:rPr>
                <w:rFonts w:asciiTheme="majorHAnsi" w:hAnsiTheme="majorHAnsi" w:cstheme="majorHAnsi"/>
                <w:sz w:val="22"/>
              </w:rPr>
              <w:t>Regulatorno usklađivanje, sajber bezbednost, zaštita podataka, upravljanje digitalnom infrastrukturo</w:t>
            </w:r>
            <w:r w:rsidR="00802EE5">
              <w:rPr>
                <w:rFonts w:asciiTheme="majorHAnsi" w:hAnsiTheme="majorHAnsi" w:cstheme="majorHAnsi"/>
                <w:sz w:val="22"/>
              </w:rPr>
              <w:t>m</w:t>
            </w:r>
          </w:p>
        </w:tc>
        <w:tc>
          <w:tcPr>
            <w:tcW w:w="833" w:type="pct"/>
            <w:tcMar>
              <w:top w:w="60" w:type="dxa"/>
              <w:left w:w="60" w:type="dxa"/>
              <w:bottom w:w="60" w:type="dxa"/>
              <w:right w:w="60" w:type="dxa"/>
            </w:tcMar>
          </w:tcPr>
          <w:p w14:paraId="6A5D65B5" w14:textId="0B5796A7" w:rsidR="007E15DB" w:rsidRPr="00611C08" w:rsidRDefault="006057C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1C13B71C" w14:textId="52AC8857" w:rsidR="007E15DB" w:rsidRPr="00611C08" w:rsidRDefault="006057CA"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3B64654B" w14:textId="221D1B72" w:rsidR="007E15DB" w:rsidRPr="00611C08" w:rsidRDefault="006057CA" w:rsidP="002327AF">
            <w:pPr>
              <w:rPr>
                <w:rFonts w:asciiTheme="majorHAnsi" w:hAnsiTheme="majorHAnsi" w:cstheme="majorHAnsi"/>
                <w:sz w:val="22"/>
              </w:rPr>
            </w:pPr>
            <w:r>
              <w:rPr>
                <w:rFonts w:asciiTheme="majorHAnsi" w:hAnsiTheme="majorHAnsi" w:cstheme="majorHAnsi"/>
                <w:sz w:val="22"/>
              </w:rPr>
              <w:t>Konsultacije i koordinacija</w:t>
            </w:r>
          </w:p>
        </w:tc>
      </w:tr>
      <w:tr w:rsidR="0055274A" w:rsidRPr="00386B69" w14:paraId="13F02429" w14:textId="77777777" w:rsidTr="00D853FA">
        <w:trPr>
          <w:cantSplit/>
          <w:jc w:val="center"/>
        </w:trPr>
        <w:tc>
          <w:tcPr>
            <w:tcW w:w="834" w:type="pct"/>
            <w:tcMar>
              <w:top w:w="60" w:type="dxa"/>
              <w:left w:w="60" w:type="dxa"/>
              <w:bottom w:w="60" w:type="dxa"/>
              <w:right w:w="60" w:type="dxa"/>
            </w:tcMar>
          </w:tcPr>
          <w:p w14:paraId="21E6A26F" w14:textId="2BE3DE8B" w:rsidR="007E15DB" w:rsidRPr="00611C08" w:rsidRDefault="00D74E48" w:rsidP="002327AF">
            <w:pPr>
              <w:rPr>
                <w:rFonts w:asciiTheme="majorHAnsi" w:hAnsiTheme="majorHAnsi" w:cstheme="majorHAnsi"/>
                <w:sz w:val="22"/>
              </w:rPr>
            </w:pPr>
            <w:r>
              <w:rPr>
                <w:rFonts w:asciiTheme="majorHAnsi" w:hAnsiTheme="majorHAnsi" w:cstheme="majorHAnsi"/>
                <w:sz w:val="22"/>
              </w:rPr>
              <w:lastRenderedPageBreak/>
              <w:t>Druge zainteresovane strane</w:t>
            </w:r>
          </w:p>
        </w:tc>
        <w:tc>
          <w:tcPr>
            <w:tcW w:w="833" w:type="pct"/>
            <w:tcMar>
              <w:top w:w="60" w:type="dxa"/>
              <w:left w:w="60" w:type="dxa"/>
              <w:bottom w:w="60" w:type="dxa"/>
              <w:right w:w="60" w:type="dxa"/>
            </w:tcMar>
          </w:tcPr>
          <w:p w14:paraId="27F23B6A" w14:textId="6B9C7852" w:rsidR="007E15DB" w:rsidRPr="00611C08" w:rsidRDefault="00D74E48" w:rsidP="002327AF">
            <w:pPr>
              <w:rPr>
                <w:rFonts w:asciiTheme="majorHAnsi" w:hAnsiTheme="majorHAnsi" w:cstheme="majorHAnsi"/>
                <w:sz w:val="22"/>
              </w:rPr>
            </w:pPr>
            <w:r w:rsidRPr="00D74E48">
              <w:rPr>
                <w:rFonts w:asciiTheme="majorHAnsi" w:hAnsiTheme="majorHAnsi" w:cstheme="majorHAnsi"/>
                <w:sz w:val="22"/>
              </w:rPr>
              <w:t>Akademska zajednica i istraživačke institucije</w:t>
            </w:r>
          </w:p>
        </w:tc>
        <w:tc>
          <w:tcPr>
            <w:tcW w:w="833" w:type="pct"/>
            <w:tcMar>
              <w:top w:w="60" w:type="dxa"/>
              <w:left w:w="60" w:type="dxa"/>
              <w:bottom w:w="60" w:type="dxa"/>
              <w:right w:w="60" w:type="dxa"/>
            </w:tcMar>
          </w:tcPr>
          <w:p w14:paraId="12DE291A" w14:textId="60E79277" w:rsidR="007E15DB" w:rsidRPr="00D74E48" w:rsidRDefault="00D74E48" w:rsidP="002327AF">
            <w:pPr>
              <w:rPr>
                <w:rFonts w:asciiTheme="majorHAnsi" w:hAnsiTheme="majorHAnsi" w:cstheme="majorHAnsi"/>
                <w:sz w:val="22"/>
                <w:lang w:val="it-IT"/>
              </w:rPr>
            </w:pPr>
            <w:r w:rsidRPr="00D74E48">
              <w:rPr>
                <w:rFonts w:asciiTheme="majorHAnsi" w:hAnsiTheme="majorHAnsi" w:cstheme="majorHAnsi"/>
                <w:sz w:val="22"/>
                <w:lang w:val="it-IT"/>
              </w:rPr>
              <w:t>AI/osnove za podatke, veštine, standardi, obuke, odgovorne inovacije</w:t>
            </w:r>
          </w:p>
        </w:tc>
        <w:tc>
          <w:tcPr>
            <w:tcW w:w="833" w:type="pct"/>
            <w:tcMar>
              <w:top w:w="60" w:type="dxa"/>
              <w:left w:w="60" w:type="dxa"/>
              <w:bottom w:w="60" w:type="dxa"/>
              <w:right w:w="60" w:type="dxa"/>
            </w:tcMar>
          </w:tcPr>
          <w:p w14:paraId="6FDB8AE2" w14:textId="32B994A9" w:rsidR="007E15DB" w:rsidRPr="00611C08" w:rsidRDefault="00D74E48"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546BE208" w14:textId="61EB6FA3" w:rsidR="007E15DB" w:rsidRPr="00611C08" w:rsidRDefault="00D74E48"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49CB3655" w14:textId="4665ECBB" w:rsidR="007E15DB" w:rsidRPr="00611C08" w:rsidRDefault="00D74E48" w:rsidP="002327AF">
            <w:pPr>
              <w:rPr>
                <w:rFonts w:asciiTheme="majorHAnsi" w:hAnsiTheme="majorHAnsi" w:cstheme="majorHAnsi"/>
                <w:sz w:val="22"/>
              </w:rPr>
            </w:pPr>
            <w:r w:rsidRPr="00D74E48">
              <w:rPr>
                <w:rFonts w:asciiTheme="majorHAnsi" w:hAnsiTheme="majorHAnsi" w:cstheme="majorHAnsi"/>
                <w:sz w:val="22"/>
              </w:rPr>
              <w:t>Konsultacije, radionice, mehanizmi saradnje</w:t>
            </w:r>
          </w:p>
        </w:tc>
      </w:tr>
      <w:tr w:rsidR="0055274A" w:rsidRPr="00802EE5" w14:paraId="2461007F" w14:textId="77777777" w:rsidTr="00D853FA">
        <w:trPr>
          <w:cantSplit/>
          <w:jc w:val="center"/>
        </w:trPr>
        <w:tc>
          <w:tcPr>
            <w:tcW w:w="834" w:type="pct"/>
            <w:tcMar>
              <w:top w:w="60" w:type="dxa"/>
              <w:left w:w="60" w:type="dxa"/>
              <w:bottom w:w="60" w:type="dxa"/>
              <w:right w:w="60" w:type="dxa"/>
            </w:tcMar>
          </w:tcPr>
          <w:p w14:paraId="7EA80518" w14:textId="2D42E9AC" w:rsidR="007E15DB" w:rsidRPr="00611C08" w:rsidRDefault="00D74E48"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0ED85F82" w14:textId="61CDB317" w:rsidR="007E15DB" w:rsidRPr="00611C08" w:rsidRDefault="00D74E48" w:rsidP="002327AF">
            <w:pPr>
              <w:rPr>
                <w:rFonts w:asciiTheme="majorHAnsi" w:hAnsiTheme="majorHAnsi" w:cstheme="majorHAnsi"/>
                <w:sz w:val="22"/>
              </w:rPr>
            </w:pPr>
            <w:r w:rsidRPr="00D74E48">
              <w:rPr>
                <w:rFonts w:asciiTheme="majorHAnsi" w:hAnsiTheme="majorHAnsi" w:cstheme="majorHAnsi"/>
                <w:sz w:val="22"/>
              </w:rPr>
              <w:t>Organizacije civilnog društva i organizacije koje predstavljaju ranjive grupe</w:t>
            </w:r>
          </w:p>
        </w:tc>
        <w:tc>
          <w:tcPr>
            <w:tcW w:w="833" w:type="pct"/>
            <w:tcMar>
              <w:top w:w="60" w:type="dxa"/>
              <w:left w:w="60" w:type="dxa"/>
              <w:bottom w:w="60" w:type="dxa"/>
              <w:right w:w="60" w:type="dxa"/>
            </w:tcMar>
          </w:tcPr>
          <w:p w14:paraId="1DD4C663" w14:textId="46F4DE2F" w:rsidR="007E15DB" w:rsidRPr="00611C08" w:rsidRDefault="00802EE5" w:rsidP="002327AF">
            <w:pPr>
              <w:rPr>
                <w:rFonts w:asciiTheme="majorHAnsi" w:hAnsiTheme="majorHAnsi" w:cstheme="majorHAnsi"/>
                <w:sz w:val="22"/>
              </w:rPr>
            </w:pPr>
            <w:r>
              <w:rPr>
                <w:rFonts w:asciiTheme="majorHAnsi" w:hAnsiTheme="majorHAnsi" w:cstheme="majorHAnsi"/>
                <w:sz w:val="22"/>
              </w:rPr>
              <w:t>I</w:t>
            </w:r>
            <w:r w:rsidR="00D74E48" w:rsidRPr="00D74E48">
              <w:rPr>
                <w:rFonts w:asciiTheme="majorHAnsi" w:hAnsiTheme="majorHAnsi" w:cstheme="majorHAnsi"/>
                <w:sz w:val="22"/>
              </w:rPr>
              <w:t>nkluzija, pristupačnost, digitalna prava, zaštita potrošača/korisnik</w:t>
            </w:r>
          </w:p>
        </w:tc>
        <w:tc>
          <w:tcPr>
            <w:tcW w:w="833" w:type="pct"/>
            <w:tcMar>
              <w:top w:w="60" w:type="dxa"/>
              <w:left w:w="60" w:type="dxa"/>
              <w:bottom w:w="60" w:type="dxa"/>
              <w:right w:w="60" w:type="dxa"/>
            </w:tcMar>
          </w:tcPr>
          <w:p w14:paraId="06CB745F" w14:textId="4BC9A0A9" w:rsidR="007E15DB" w:rsidRPr="00611C08" w:rsidRDefault="00D74E48" w:rsidP="002327AF">
            <w:pPr>
              <w:rPr>
                <w:rFonts w:asciiTheme="majorHAnsi" w:hAnsiTheme="majorHAnsi" w:cstheme="majorHAnsi"/>
                <w:sz w:val="22"/>
              </w:rPr>
            </w:pPr>
            <w:r>
              <w:rPr>
                <w:rFonts w:asciiTheme="majorHAnsi" w:hAnsiTheme="majorHAnsi" w:cstheme="majorHAnsi"/>
                <w:sz w:val="22"/>
              </w:rPr>
              <w:t>Visok</w:t>
            </w:r>
          </w:p>
        </w:tc>
        <w:tc>
          <w:tcPr>
            <w:tcW w:w="833" w:type="pct"/>
            <w:tcMar>
              <w:top w:w="60" w:type="dxa"/>
              <w:left w:w="60" w:type="dxa"/>
              <w:bottom w:w="60" w:type="dxa"/>
              <w:right w:w="60" w:type="dxa"/>
            </w:tcMar>
          </w:tcPr>
          <w:p w14:paraId="463C2106" w14:textId="6A32BCF9" w:rsidR="007E15DB" w:rsidRPr="00611C08" w:rsidRDefault="00D74E48"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0BCBCC15" w14:textId="72D4FCE7" w:rsidR="007E15DB" w:rsidRPr="00D74E48" w:rsidRDefault="00D74E48" w:rsidP="002327AF">
            <w:pPr>
              <w:rPr>
                <w:rFonts w:asciiTheme="majorHAnsi" w:hAnsiTheme="majorHAnsi" w:cstheme="majorHAnsi"/>
                <w:sz w:val="22"/>
                <w:lang w:val="it-IT"/>
              </w:rPr>
            </w:pPr>
            <w:r w:rsidRPr="00D74E48">
              <w:rPr>
                <w:rFonts w:asciiTheme="majorHAnsi" w:hAnsiTheme="majorHAnsi" w:cstheme="majorHAnsi"/>
                <w:sz w:val="22"/>
                <w:lang w:val="it-IT"/>
              </w:rPr>
              <w:t>Konsultacije, ciljano informisanje, kanali za povratne informacije</w:t>
            </w:r>
          </w:p>
        </w:tc>
      </w:tr>
      <w:tr w:rsidR="0055274A" w:rsidRPr="00802EE5" w14:paraId="335C09AD" w14:textId="77777777" w:rsidTr="00D853FA">
        <w:trPr>
          <w:cantSplit/>
          <w:jc w:val="center"/>
        </w:trPr>
        <w:tc>
          <w:tcPr>
            <w:tcW w:w="834" w:type="pct"/>
            <w:tcMar>
              <w:top w:w="60" w:type="dxa"/>
              <w:left w:w="60" w:type="dxa"/>
              <w:bottom w:w="60" w:type="dxa"/>
              <w:right w:w="60" w:type="dxa"/>
            </w:tcMar>
          </w:tcPr>
          <w:p w14:paraId="385CCAD3" w14:textId="3CB770AC" w:rsidR="007E15DB" w:rsidRPr="00611C08" w:rsidRDefault="00A25897"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5ADDCD74" w14:textId="688497C6" w:rsidR="007E15DB" w:rsidRPr="00611C08" w:rsidRDefault="00A25897" w:rsidP="002327AF">
            <w:pPr>
              <w:rPr>
                <w:rFonts w:asciiTheme="majorHAnsi" w:hAnsiTheme="majorHAnsi" w:cstheme="majorHAnsi"/>
                <w:sz w:val="22"/>
              </w:rPr>
            </w:pPr>
            <w:r>
              <w:rPr>
                <w:rFonts w:asciiTheme="majorHAnsi" w:hAnsiTheme="majorHAnsi" w:cstheme="majorHAnsi"/>
                <w:sz w:val="22"/>
              </w:rPr>
              <w:t>Mediji i šira javnost</w:t>
            </w:r>
          </w:p>
        </w:tc>
        <w:tc>
          <w:tcPr>
            <w:tcW w:w="833" w:type="pct"/>
            <w:tcMar>
              <w:top w:w="60" w:type="dxa"/>
              <w:left w:w="60" w:type="dxa"/>
              <w:bottom w:w="60" w:type="dxa"/>
              <w:right w:w="60" w:type="dxa"/>
            </w:tcMar>
          </w:tcPr>
          <w:p w14:paraId="0A1FBBF4" w14:textId="2AB03C46" w:rsidR="007E15DB" w:rsidRPr="00611C08" w:rsidRDefault="00A25897" w:rsidP="002327AF">
            <w:pPr>
              <w:rPr>
                <w:rFonts w:asciiTheme="majorHAnsi" w:hAnsiTheme="majorHAnsi" w:cstheme="majorHAnsi"/>
                <w:sz w:val="22"/>
              </w:rPr>
            </w:pPr>
            <w:r w:rsidRPr="00A25897">
              <w:rPr>
                <w:rFonts w:asciiTheme="majorHAnsi" w:hAnsiTheme="majorHAnsi" w:cstheme="majorHAnsi"/>
                <w:sz w:val="22"/>
              </w:rPr>
              <w:t>Informisanost o projektnim aktivnostima, Digitalnom novčaniku, veštačkoj inteligenciji, sajber bezbednosti i reformama javnih usluga</w:t>
            </w:r>
          </w:p>
        </w:tc>
        <w:tc>
          <w:tcPr>
            <w:tcW w:w="833" w:type="pct"/>
            <w:tcMar>
              <w:top w:w="60" w:type="dxa"/>
              <w:left w:w="60" w:type="dxa"/>
              <w:bottom w:w="60" w:type="dxa"/>
              <w:right w:w="60" w:type="dxa"/>
            </w:tcMar>
          </w:tcPr>
          <w:p w14:paraId="7E7A26D3" w14:textId="2F7158A7" w:rsidR="007E15DB" w:rsidRPr="00611C08" w:rsidRDefault="00A25897"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2F306CC8" w14:textId="4BC6382F" w:rsidR="007E15DB" w:rsidRPr="00611C08" w:rsidRDefault="00A25897"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6FC9FF82" w14:textId="07FDA4F4" w:rsidR="007E15DB" w:rsidRPr="00A25897" w:rsidRDefault="00A25897" w:rsidP="002327AF">
            <w:pPr>
              <w:rPr>
                <w:rFonts w:asciiTheme="majorHAnsi" w:hAnsiTheme="majorHAnsi" w:cstheme="majorHAnsi"/>
                <w:sz w:val="22"/>
                <w:lang w:val="it-IT"/>
              </w:rPr>
            </w:pPr>
            <w:r w:rsidRPr="00A25897">
              <w:rPr>
                <w:rFonts w:asciiTheme="majorHAnsi" w:hAnsiTheme="majorHAnsi" w:cstheme="majorHAnsi"/>
                <w:sz w:val="22"/>
                <w:lang w:val="it-IT"/>
              </w:rPr>
              <w:t>Informisanje kroz komunikacione kampanje i javno informisanje</w:t>
            </w:r>
          </w:p>
        </w:tc>
      </w:tr>
      <w:tr w:rsidR="0055274A" w:rsidRPr="00386B69" w14:paraId="1E57B1C7" w14:textId="77777777" w:rsidTr="00D853FA">
        <w:trPr>
          <w:cantSplit/>
          <w:jc w:val="center"/>
        </w:trPr>
        <w:tc>
          <w:tcPr>
            <w:tcW w:w="834" w:type="pct"/>
            <w:tcMar>
              <w:top w:w="60" w:type="dxa"/>
              <w:left w:w="60" w:type="dxa"/>
              <w:bottom w:w="60" w:type="dxa"/>
              <w:right w:w="60" w:type="dxa"/>
            </w:tcMar>
          </w:tcPr>
          <w:p w14:paraId="6CEBF79A" w14:textId="10A2402C" w:rsidR="007E15DB" w:rsidRPr="00611C08" w:rsidRDefault="00A25897" w:rsidP="002327AF">
            <w:pPr>
              <w:rPr>
                <w:rFonts w:asciiTheme="majorHAnsi" w:hAnsiTheme="majorHAnsi" w:cstheme="majorHAnsi"/>
                <w:sz w:val="22"/>
              </w:rPr>
            </w:pPr>
            <w:r>
              <w:rPr>
                <w:rFonts w:asciiTheme="majorHAnsi" w:hAnsiTheme="majorHAnsi" w:cstheme="majorHAnsi"/>
                <w:sz w:val="22"/>
              </w:rPr>
              <w:t>Druge zainteresovane strane</w:t>
            </w:r>
          </w:p>
        </w:tc>
        <w:tc>
          <w:tcPr>
            <w:tcW w:w="833" w:type="pct"/>
            <w:tcMar>
              <w:top w:w="60" w:type="dxa"/>
              <w:left w:w="60" w:type="dxa"/>
              <w:bottom w:w="60" w:type="dxa"/>
              <w:right w:w="60" w:type="dxa"/>
            </w:tcMar>
          </w:tcPr>
          <w:p w14:paraId="3386D345" w14:textId="10D3DBDE" w:rsidR="007E15DB" w:rsidRPr="00A25897" w:rsidRDefault="00A25897" w:rsidP="002327AF">
            <w:pPr>
              <w:rPr>
                <w:rFonts w:asciiTheme="majorHAnsi" w:hAnsiTheme="majorHAnsi" w:cstheme="majorHAnsi"/>
                <w:sz w:val="22"/>
                <w:lang w:val="it-IT"/>
              </w:rPr>
            </w:pPr>
            <w:r w:rsidRPr="00A25897">
              <w:rPr>
                <w:rFonts w:asciiTheme="majorHAnsi" w:hAnsiTheme="majorHAnsi" w:cstheme="majorHAnsi"/>
                <w:sz w:val="22"/>
                <w:lang w:val="it-IT"/>
              </w:rPr>
              <w:t>Razvojni partneri i međunarodne organizacije</w:t>
            </w:r>
          </w:p>
        </w:tc>
        <w:tc>
          <w:tcPr>
            <w:tcW w:w="833" w:type="pct"/>
            <w:tcMar>
              <w:top w:w="60" w:type="dxa"/>
              <w:left w:w="60" w:type="dxa"/>
              <w:bottom w:w="60" w:type="dxa"/>
              <w:right w:w="60" w:type="dxa"/>
            </w:tcMar>
          </w:tcPr>
          <w:p w14:paraId="5663CF83" w14:textId="20147E3C" w:rsidR="007E15DB" w:rsidRPr="00A25897" w:rsidRDefault="00A25897" w:rsidP="002327AF">
            <w:pPr>
              <w:rPr>
                <w:rFonts w:asciiTheme="majorHAnsi" w:hAnsiTheme="majorHAnsi" w:cstheme="majorHAnsi"/>
                <w:sz w:val="22"/>
                <w:lang w:val="it-IT"/>
              </w:rPr>
            </w:pPr>
            <w:r w:rsidRPr="00A25897">
              <w:rPr>
                <w:rFonts w:asciiTheme="majorHAnsi" w:hAnsiTheme="majorHAnsi" w:cstheme="majorHAnsi"/>
                <w:sz w:val="22"/>
                <w:lang w:val="it-IT"/>
              </w:rPr>
              <w:t>Koordinacija sa povezanim reformama i aktivnostima podržanim od strane donatora</w:t>
            </w:r>
          </w:p>
        </w:tc>
        <w:tc>
          <w:tcPr>
            <w:tcW w:w="833" w:type="pct"/>
            <w:tcMar>
              <w:top w:w="60" w:type="dxa"/>
              <w:left w:w="60" w:type="dxa"/>
              <w:bottom w:w="60" w:type="dxa"/>
              <w:right w:w="60" w:type="dxa"/>
            </w:tcMar>
          </w:tcPr>
          <w:p w14:paraId="4E1CBF70" w14:textId="0C3C3A40" w:rsidR="007E15DB" w:rsidRPr="00611C08" w:rsidRDefault="00A25897"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3FE90647" w14:textId="751D977B" w:rsidR="007E15DB" w:rsidRPr="00611C08" w:rsidRDefault="00A25897" w:rsidP="002327AF">
            <w:pPr>
              <w:rPr>
                <w:rFonts w:asciiTheme="majorHAnsi" w:hAnsiTheme="majorHAnsi" w:cstheme="majorHAnsi"/>
                <w:sz w:val="22"/>
              </w:rPr>
            </w:pPr>
            <w:r>
              <w:rPr>
                <w:rFonts w:asciiTheme="majorHAnsi" w:hAnsiTheme="majorHAnsi" w:cstheme="majorHAnsi"/>
                <w:sz w:val="22"/>
              </w:rPr>
              <w:t>Srednji</w:t>
            </w:r>
          </w:p>
        </w:tc>
        <w:tc>
          <w:tcPr>
            <w:tcW w:w="833" w:type="pct"/>
            <w:tcMar>
              <w:top w:w="60" w:type="dxa"/>
              <w:left w:w="60" w:type="dxa"/>
              <w:bottom w:w="60" w:type="dxa"/>
              <w:right w:w="60" w:type="dxa"/>
            </w:tcMar>
          </w:tcPr>
          <w:p w14:paraId="69A29C6B" w14:textId="4693875D" w:rsidR="007E15DB" w:rsidRPr="00611C08" w:rsidRDefault="00A25897" w:rsidP="00A25897">
            <w:pPr>
              <w:rPr>
                <w:rFonts w:asciiTheme="majorHAnsi" w:hAnsiTheme="majorHAnsi" w:cstheme="majorHAnsi"/>
                <w:sz w:val="22"/>
              </w:rPr>
            </w:pPr>
            <w:r>
              <w:rPr>
                <w:rFonts w:asciiTheme="majorHAnsi" w:hAnsiTheme="majorHAnsi" w:cstheme="majorHAnsi"/>
                <w:sz w:val="22"/>
              </w:rPr>
              <w:t>Informisanje i koordinacija</w:t>
            </w:r>
          </w:p>
        </w:tc>
      </w:tr>
    </w:tbl>
    <w:p w14:paraId="6D738C9A" w14:textId="7866B5D3" w:rsidR="007E15DB" w:rsidRDefault="007E15DB" w:rsidP="004962FD">
      <w:pPr>
        <w:ind w:right="576"/>
        <w:rPr>
          <w:rFonts w:asciiTheme="majorHAnsi" w:hAnsiTheme="majorHAnsi" w:cstheme="majorHAnsi"/>
          <w:sz w:val="22"/>
        </w:rPr>
      </w:pPr>
    </w:p>
    <w:p w14:paraId="47EE0BE2" w14:textId="77777777" w:rsidR="004962FD" w:rsidRPr="00386B69" w:rsidRDefault="004962FD" w:rsidP="004962FD">
      <w:pPr>
        <w:ind w:right="576"/>
        <w:rPr>
          <w:rFonts w:asciiTheme="majorHAnsi" w:hAnsiTheme="majorHAnsi" w:cstheme="majorHAnsi"/>
          <w:sz w:val="22"/>
        </w:rPr>
      </w:pPr>
    </w:p>
    <w:p w14:paraId="04E5D40E" w14:textId="3E8F5503" w:rsidR="007E15DB" w:rsidRPr="00611C08" w:rsidRDefault="00104F47" w:rsidP="00611C08">
      <w:pPr>
        <w:pStyle w:val="ListParagraph"/>
        <w:numPr>
          <w:ilvl w:val="2"/>
          <w:numId w:val="20"/>
        </w:numPr>
        <w:ind w:right="576"/>
        <w:rPr>
          <w:rFonts w:asciiTheme="majorHAnsi" w:hAnsiTheme="majorHAnsi" w:cstheme="majorHAnsi"/>
          <w:b/>
          <w:bCs/>
          <w:sz w:val="22"/>
        </w:rPr>
      </w:pPr>
      <w:r>
        <w:rPr>
          <w:rFonts w:asciiTheme="majorHAnsi" w:hAnsiTheme="majorHAnsi" w:cstheme="majorHAnsi"/>
          <w:b/>
          <w:bCs/>
          <w:sz w:val="22"/>
        </w:rPr>
        <w:t>Program angažovanja zainteresovanih strana</w:t>
      </w:r>
    </w:p>
    <w:p w14:paraId="7F1083C2" w14:textId="7F8A52E5" w:rsidR="00946141" w:rsidRPr="00DD2DCA" w:rsidRDefault="00104F47" w:rsidP="00946141">
      <w:pPr>
        <w:rPr>
          <w:b/>
          <w:bCs/>
        </w:rPr>
      </w:pPr>
      <w:r>
        <w:rPr>
          <w:b/>
          <w:bCs/>
        </w:rPr>
        <w:t>Ključni principi</w:t>
      </w:r>
    </w:p>
    <w:p w14:paraId="56ED7225" w14:textId="0BB81466" w:rsidR="00104F47" w:rsidRPr="00802EE5" w:rsidRDefault="00104F47" w:rsidP="00104F47">
      <w:pPr>
        <w:spacing w:after="120" w:line="252" w:lineRule="auto"/>
        <w:ind w:right="576"/>
        <w:jc w:val="both"/>
        <w:rPr>
          <w:rFonts w:asciiTheme="majorHAnsi" w:hAnsiTheme="majorHAnsi" w:cstheme="majorHAnsi"/>
          <w:sz w:val="22"/>
          <w:lang w:val="it-IT"/>
        </w:rPr>
      </w:pPr>
      <w:r w:rsidRPr="00104F47">
        <w:rPr>
          <w:rFonts w:asciiTheme="majorHAnsi" w:hAnsiTheme="majorHAnsi" w:cstheme="majorHAnsi"/>
          <w:sz w:val="22"/>
        </w:rPr>
        <w:t xml:space="preserve">Program </w:t>
      </w:r>
      <w:r>
        <w:rPr>
          <w:rFonts w:asciiTheme="majorHAnsi" w:hAnsiTheme="majorHAnsi" w:cstheme="majorHAnsi"/>
          <w:sz w:val="22"/>
        </w:rPr>
        <w:t>angažovanja</w:t>
      </w:r>
      <w:r w:rsidRPr="00104F47">
        <w:rPr>
          <w:rFonts w:asciiTheme="majorHAnsi" w:hAnsiTheme="majorHAnsi" w:cstheme="majorHAnsi"/>
          <w:sz w:val="22"/>
        </w:rPr>
        <w:t xml:space="preserve"> zainteresovanih strana obezbediće da zainteresovane strane budu informisane i konsultovane tokom pripreme i implementacije projekta, na način srazmeran niskoj klasifikaciji ekološkog i </w:t>
      </w:r>
      <w:r>
        <w:rPr>
          <w:rFonts w:asciiTheme="majorHAnsi" w:hAnsiTheme="majorHAnsi" w:cstheme="majorHAnsi"/>
          <w:sz w:val="22"/>
        </w:rPr>
        <w:t xml:space="preserve">društvenog rizika </w:t>
      </w:r>
      <w:r w:rsidRPr="00104F47">
        <w:rPr>
          <w:rFonts w:asciiTheme="majorHAnsi" w:hAnsiTheme="majorHAnsi" w:cstheme="majorHAnsi"/>
          <w:sz w:val="22"/>
        </w:rPr>
        <w:t xml:space="preserve">projekta SERVIS. </w:t>
      </w:r>
      <w:r w:rsidRPr="00802EE5">
        <w:rPr>
          <w:rFonts w:asciiTheme="majorHAnsi" w:hAnsiTheme="majorHAnsi" w:cstheme="majorHAnsi"/>
          <w:sz w:val="22"/>
          <w:lang w:val="it-IT"/>
        </w:rPr>
        <w:t>Angažovanje će biti usmereno na to da zainteresovane strane razumeju projektne aktivnosti, mogu da daj</w:t>
      </w:r>
      <w:r w:rsidR="00802EE5" w:rsidRPr="00802EE5">
        <w:rPr>
          <w:rFonts w:asciiTheme="majorHAnsi" w:hAnsiTheme="majorHAnsi" w:cstheme="majorHAnsi"/>
          <w:sz w:val="22"/>
          <w:lang w:val="it-IT"/>
        </w:rPr>
        <w:t xml:space="preserve">u povratne informacije i postave pitanja </w:t>
      </w:r>
      <w:r w:rsidRPr="00802EE5">
        <w:rPr>
          <w:rFonts w:asciiTheme="majorHAnsi" w:hAnsiTheme="majorHAnsi" w:cstheme="majorHAnsi"/>
          <w:sz w:val="22"/>
          <w:lang w:val="it-IT"/>
        </w:rPr>
        <w:t>putem pristupačnih kanala.</w:t>
      </w:r>
    </w:p>
    <w:p w14:paraId="6E40C83C" w14:textId="64846DCE" w:rsidR="00104F47" w:rsidRPr="00104F47" w:rsidRDefault="00104F47" w:rsidP="00104F47">
      <w:pPr>
        <w:spacing w:after="120" w:line="252" w:lineRule="auto"/>
        <w:ind w:right="576"/>
        <w:jc w:val="both"/>
        <w:rPr>
          <w:rFonts w:asciiTheme="majorHAnsi" w:hAnsiTheme="majorHAnsi" w:cstheme="majorHAnsi"/>
          <w:sz w:val="22"/>
        </w:rPr>
      </w:pPr>
      <w:r w:rsidRPr="00104F47">
        <w:rPr>
          <w:rFonts w:asciiTheme="majorHAnsi" w:hAnsiTheme="majorHAnsi" w:cstheme="majorHAnsi"/>
          <w:sz w:val="22"/>
        </w:rPr>
        <w:t xml:space="preserve">Sve aktivnosti </w:t>
      </w:r>
      <w:r>
        <w:rPr>
          <w:rFonts w:asciiTheme="majorHAnsi" w:hAnsiTheme="majorHAnsi" w:cstheme="majorHAnsi"/>
          <w:sz w:val="22"/>
        </w:rPr>
        <w:t>angažovanja</w:t>
      </w:r>
      <w:r w:rsidRPr="00104F47">
        <w:rPr>
          <w:rFonts w:asciiTheme="majorHAnsi" w:hAnsiTheme="majorHAnsi" w:cstheme="majorHAnsi"/>
          <w:sz w:val="22"/>
        </w:rPr>
        <w:t xml:space="preserve"> zainteresovanih strana u okviru ovog projekta vodiće se sledećim principima</w:t>
      </w:r>
    </w:p>
    <w:p w14:paraId="379BB00C" w14:textId="677036A6" w:rsidR="00946141" w:rsidRPr="00DD2DCA" w:rsidRDefault="00946141" w:rsidP="00104F47">
      <w:pPr>
        <w:spacing w:after="120" w:line="252" w:lineRule="auto"/>
        <w:ind w:right="576"/>
        <w:jc w:val="both"/>
      </w:pPr>
      <w:r w:rsidRPr="00DD2DCA">
        <w:t>:</w:t>
      </w:r>
    </w:p>
    <w:p w14:paraId="6ABD9EE3" w14:textId="1A8365FE" w:rsidR="00946141" w:rsidRPr="00DD2DCA" w:rsidRDefault="00D87EBE" w:rsidP="00946141">
      <w:pPr>
        <w:numPr>
          <w:ilvl w:val="0"/>
          <w:numId w:val="25"/>
        </w:numPr>
        <w:spacing w:after="160" w:line="259" w:lineRule="auto"/>
        <w:jc w:val="both"/>
      </w:pPr>
      <w:r w:rsidRPr="00D87EBE">
        <w:rPr>
          <w:b/>
        </w:rPr>
        <w:t>Otvorenost</w:t>
      </w:r>
      <w:r w:rsidRPr="00D87EBE">
        <w:t>: Angažovanje će se sprovoditi na otvoren i transparentan način, bez manipulacije, mešanja, prinude, diskriminacije i zastrašivanja</w:t>
      </w:r>
      <w:r w:rsidR="00946141" w:rsidRPr="00DD2DCA">
        <w:t>;</w:t>
      </w:r>
    </w:p>
    <w:p w14:paraId="07856533" w14:textId="171A28B8" w:rsidR="00946141" w:rsidRPr="00E73840" w:rsidRDefault="00D87EBE" w:rsidP="00946141">
      <w:pPr>
        <w:numPr>
          <w:ilvl w:val="0"/>
          <w:numId w:val="25"/>
        </w:numPr>
        <w:spacing w:after="160" w:line="259" w:lineRule="auto"/>
        <w:jc w:val="both"/>
        <w:rPr>
          <w:lang w:val="it-IT"/>
        </w:rPr>
      </w:pPr>
      <w:r w:rsidRPr="00E73840">
        <w:rPr>
          <w:b/>
          <w:bCs/>
          <w:lang w:val="it-IT"/>
        </w:rPr>
        <w:t>I</w:t>
      </w:r>
      <w:r w:rsidRPr="00E73840">
        <w:rPr>
          <w:b/>
          <w:lang w:val="it-IT"/>
        </w:rPr>
        <w:t>nkluzivnost</w:t>
      </w:r>
      <w:r w:rsidRPr="00E73840">
        <w:rPr>
          <w:lang w:val="it-IT"/>
        </w:rPr>
        <w:t>: Uložiće se napori da se dopre do ranjivih i marginalizovanih grupa</w:t>
      </w:r>
      <w:r w:rsidR="00946141" w:rsidRPr="00E73840">
        <w:rPr>
          <w:lang w:val="it-IT"/>
        </w:rPr>
        <w:t>;</w:t>
      </w:r>
    </w:p>
    <w:p w14:paraId="23881D3C" w14:textId="290C6AD4" w:rsidR="00946141" w:rsidRPr="00E73840" w:rsidRDefault="00D87EBE" w:rsidP="00946141">
      <w:pPr>
        <w:numPr>
          <w:ilvl w:val="0"/>
          <w:numId w:val="25"/>
        </w:numPr>
        <w:spacing w:after="160" w:line="259" w:lineRule="auto"/>
        <w:jc w:val="both"/>
        <w:rPr>
          <w:lang w:val="it-IT"/>
        </w:rPr>
      </w:pPr>
      <w:r w:rsidRPr="00E73840">
        <w:rPr>
          <w:b/>
          <w:lang w:val="it-IT"/>
        </w:rPr>
        <w:lastRenderedPageBreak/>
        <w:t>Blagovremenost</w:t>
      </w:r>
      <w:r w:rsidRPr="00E73840">
        <w:rPr>
          <w:lang w:val="it-IT"/>
        </w:rPr>
        <w:t>: Informacije će biti podeljene na vreme, kako bi zainteresovane strane mogle smisleno da učestvuju u procesu donošenja odluka</w:t>
      </w:r>
      <w:r w:rsidR="00946141" w:rsidRPr="00E73840">
        <w:rPr>
          <w:lang w:val="it-IT"/>
        </w:rPr>
        <w:t>;</w:t>
      </w:r>
    </w:p>
    <w:p w14:paraId="37D65A1E" w14:textId="28E67111" w:rsidR="00946141" w:rsidRPr="00E73840" w:rsidRDefault="00D87EBE" w:rsidP="00946141">
      <w:pPr>
        <w:numPr>
          <w:ilvl w:val="0"/>
          <w:numId w:val="25"/>
        </w:numPr>
        <w:spacing w:after="160" w:line="259" w:lineRule="auto"/>
        <w:jc w:val="both"/>
        <w:rPr>
          <w:lang w:val="it-IT"/>
        </w:rPr>
      </w:pPr>
      <w:r w:rsidRPr="00E73840">
        <w:rPr>
          <w:bCs/>
          <w:lang w:val="it-IT"/>
        </w:rPr>
        <w:t>P</w:t>
      </w:r>
      <w:r w:rsidRPr="00E73840">
        <w:rPr>
          <w:lang w:val="it-IT"/>
        </w:rPr>
        <w:t>ovratne informacije: Zainteresovane strane biće obaveštene o tome na koji način su njihovi komentari i predlozi razmotreni i uključeni</w:t>
      </w:r>
      <w:r w:rsidR="00946141" w:rsidRPr="00E73840">
        <w:rPr>
          <w:lang w:val="it-IT"/>
        </w:rPr>
        <w:t xml:space="preserve">; </w:t>
      </w:r>
      <w:r w:rsidRPr="00E73840">
        <w:rPr>
          <w:lang w:val="it-IT"/>
        </w:rPr>
        <w:t>i</w:t>
      </w:r>
    </w:p>
    <w:p w14:paraId="090F5C9F" w14:textId="371F5654" w:rsidR="00946141" w:rsidRPr="00E73840" w:rsidRDefault="00D87EBE" w:rsidP="00495BBE">
      <w:pPr>
        <w:numPr>
          <w:ilvl w:val="0"/>
          <w:numId w:val="25"/>
        </w:numPr>
        <w:spacing w:after="160" w:line="259" w:lineRule="auto"/>
        <w:jc w:val="both"/>
        <w:rPr>
          <w:lang w:val="it-IT"/>
        </w:rPr>
      </w:pPr>
      <w:r w:rsidRPr="00E73840">
        <w:rPr>
          <w:b/>
          <w:lang w:val="it-IT"/>
        </w:rPr>
        <w:t>Transparentnost u vezi sa veštačkom inteligencijom</w:t>
      </w:r>
      <w:r w:rsidRPr="00E73840">
        <w:rPr>
          <w:lang w:val="it-IT"/>
        </w:rPr>
        <w:t>: Kada projekat uključuje sisteme veštačke inteligencije koji utiču na građane (npr. automatizovano donošenje odluka u pružanju usluga), institucija nadležna za sprovođenje projekta pobrinu</w:t>
      </w:r>
      <w:r>
        <w:rPr>
          <w:lang w:val="sr-Latn-RS"/>
        </w:rPr>
        <w:t>će se</w:t>
      </w:r>
      <w:r w:rsidRPr="00E73840">
        <w:rPr>
          <w:lang w:val="it-IT"/>
        </w:rPr>
        <w:t xml:space="preserve"> da pogođene strane budu informisane o načinu funkcionisanja tih sistema, podacima koji se koriste i mogućnostima osporavanja donetih odluka</w:t>
      </w:r>
      <w:r w:rsidR="00946141" w:rsidRPr="00E73840">
        <w:rPr>
          <w:lang w:val="it-IT"/>
        </w:rPr>
        <w:t>.</w:t>
      </w:r>
    </w:p>
    <w:p w14:paraId="242990B4" w14:textId="0C5558B6" w:rsidR="00946141" w:rsidRPr="00E73840" w:rsidRDefault="0094787B" w:rsidP="00495BBE">
      <w:pPr>
        <w:pStyle w:val="Heading2"/>
        <w:spacing w:before="60" w:after="120"/>
        <w:ind w:left="720" w:right="576"/>
        <w:jc w:val="both"/>
        <w:rPr>
          <w:rFonts w:cstheme="majorHAnsi"/>
          <w:sz w:val="22"/>
          <w:lang w:val="it-IT"/>
        </w:rPr>
      </w:pPr>
      <w:r w:rsidRPr="00E73840">
        <w:rPr>
          <w:rFonts w:eastAsia="Arial" w:cstheme="majorHAnsi"/>
          <w:color w:val="auto"/>
          <w:sz w:val="22"/>
          <w:szCs w:val="22"/>
          <w:lang w:val="it-IT"/>
        </w:rPr>
        <w:t>Vreme sprovođenja angažovanja</w:t>
      </w:r>
    </w:p>
    <w:p w14:paraId="74D1204E" w14:textId="1AE15CAE" w:rsidR="007E15DB" w:rsidRPr="00E73840" w:rsidRDefault="0094787B" w:rsidP="00AC0E2C">
      <w:pPr>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Angažovanje će se odvijati tokom</w:t>
      </w:r>
      <w:r w:rsidR="00811B0E" w:rsidRPr="00E73840">
        <w:rPr>
          <w:rFonts w:asciiTheme="majorHAnsi" w:hAnsiTheme="majorHAnsi" w:cstheme="majorHAnsi"/>
          <w:sz w:val="22"/>
          <w:lang w:val="it-IT"/>
        </w:rPr>
        <w:t>:</w:t>
      </w:r>
    </w:p>
    <w:p w14:paraId="15D13A36" w14:textId="340A7ECA" w:rsidR="007E15DB" w:rsidRPr="00386B69" w:rsidRDefault="003F4F07" w:rsidP="00AC0E2C">
      <w:pPr>
        <w:pStyle w:val="ListBullet"/>
        <w:spacing w:after="120" w:line="252" w:lineRule="auto"/>
        <w:ind w:left="720" w:right="576"/>
        <w:jc w:val="both"/>
        <w:rPr>
          <w:rFonts w:asciiTheme="majorHAnsi" w:hAnsiTheme="majorHAnsi" w:cstheme="majorHAnsi"/>
          <w:sz w:val="22"/>
        </w:rPr>
      </w:pPr>
      <w:r w:rsidRPr="003F4F07">
        <w:rPr>
          <w:rFonts w:asciiTheme="majorHAnsi" w:hAnsiTheme="majorHAnsi" w:cstheme="majorHAnsi"/>
          <w:sz w:val="22"/>
        </w:rPr>
        <w:t>pripreme i procene projekta</w:t>
      </w:r>
      <w:r w:rsidR="00811B0E" w:rsidRPr="00386B69">
        <w:rPr>
          <w:rFonts w:asciiTheme="majorHAnsi" w:hAnsiTheme="majorHAnsi" w:cstheme="majorHAnsi"/>
          <w:sz w:val="22"/>
        </w:rPr>
        <w:t>;</w:t>
      </w:r>
    </w:p>
    <w:p w14:paraId="16B2F66C" w14:textId="6A3ED0A8" w:rsidR="007E15DB" w:rsidRPr="00386B69" w:rsidRDefault="003F4F07"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r</w:t>
      </w:r>
      <w:r w:rsidRPr="003F4F07">
        <w:rPr>
          <w:rFonts w:asciiTheme="majorHAnsi" w:hAnsiTheme="majorHAnsi" w:cstheme="majorHAnsi"/>
          <w:sz w:val="22"/>
        </w:rPr>
        <w:t>ane faze implementacije i pokretanja ključnih aktivnosti</w:t>
      </w:r>
      <w:r w:rsidR="00811B0E" w:rsidRPr="00386B69">
        <w:rPr>
          <w:rFonts w:asciiTheme="majorHAnsi" w:hAnsiTheme="majorHAnsi" w:cstheme="majorHAnsi"/>
          <w:sz w:val="22"/>
        </w:rPr>
        <w:t>;</w:t>
      </w:r>
    </w:p>
    <w:p w14:paraId="6AA447AD" w14:textId="4396FB6A" w:rsidR="007E15DB" w:rsidRPr="00386B69" w:rsidRDefault="003F4F07" w:rsidP="00AC0E2C">
      <w:pPr>
        <w:pStyle w:val="ListBullet"/>
        <w:spacing w:after="120" w:line="252" w:lineRule="auto"/>
        <w:ind w:left="720" w:right="576"/>
        <w:jc w:val="both"/>
        <w:rPr>
          <w:rFonts w:asciiTheme="majorHAnsi" w:hAnsiTheme="majorHAnsi" w:cstheme="majorHAnsi"/>
          <w:sz w:val="22"/>
        </w:rPr>
      </w:pPr>
      <w:r w:rsidRPr="003F4F07">
        <w:rPr>
          <w:rFonts w:asciiTheme="majorHAnsi" w:hAnsiTheme="majorHAnsi" w:cstheme="majorHAnsi"/>
          <w:sz w:val="22"/>
        </w:rPr>
        <w:t>dizajna i uvođenja usluga i slučajeva upotrebe Digitalnog novčanika</w:t>
      </w:r>
      <w:r w:rsidR="00811B0E" w:rsidRPr="00386B69">
        <w:rPr>
          <w:rFonts w:asciiTheme="majorHAnsi" w:hAnsiTheme="majorHAnsi" w:cstheme="majorHAnsi"/>
          <w:sz w:val="22"/>
        </w:rPr>
        <w:t>;</w:t>
      </w:r>
    </w:p>
    <w:p w14:paraId="3B5EABC3" w14:textId="39027E13" w:rsidR="007E15DB" w:rsidRPr="00E73840" w:rsidRDefault="00FF7EE0"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dizajna, testiranja i primene usluga zasnovanih na veštačkoj inteligenciji</w:t>
      </w:r>
      <w:r w:rsidR="00811B0E" w:rsidRPr="00E73840">
        <w:rPr>
          <w:rFonts w:asciiTheme="majorHAnsi" w:hAnsiTheme="majorHAnsi" w:cstheme="majorHAnsi"/>
          <w:sz w:val="22"/>
          <w:lang w:val="it-IT"/>
        </w:rPr>
        <w:t>;</w:t>
      </w:r>
    </w:p>
    <w:p w14:paraId="39F0319B" w14:textId="2B7C523D" w:rsidR="007E15DB" w:rsidRPr="00E73840" w:rsidRDefault="00537708"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sprovođenja obuka, aktivnosti digitalne inkluzije i aktivnosti razvoja GovTech ekosistema</w:t>
      </w:r>
      <w:r w:rsidR="00811B0E" w:rsidRPr="00E73840">
        <w:rPr>
          <w:rFonts w:asciiTheme="majorHAnsi" w:hAnsiTheme="majorHAnsi" w:cstheme="majorHAnsi"/>
          <w:sz w:val="22"/>
          <w:lang w:val="it-IT"/>
        </w:rPr>
        <w:t>;</w:t>
      </w:r>
    </w:p>
    <w:p w14:paraId="4EABD203" w14:textId="73D9DC83" w:rsidR="007E15DB" w:rsidRPr="00386B69" w:rsidRDefault="00537708" w:rsidP="00AC0E2C">
      <w:pPr>
        <w:pStyle w:val="ListBullet"/>
        <w:spacing w:after="120" w:line="252" w:lineRule="auto"/>
        <w:ind w:left="720" w:right="576"/>
        <w:jc w:val="both"/>
        <w:rPr>
          <w:rFonts w:asciiTheme="majorHAnsi" w:hAnsiTheme="majorHAnsi" w:cstheme="majorHAnsi"/>
          <w:sz w:val="22"/>
        </w:rPr>
      </w:pPr>
      <w:r w:rsidRPr="00537708">
        <w:rPr>
          <w:rFonts w:asciiTheme="majorHAnsi" w:hAnsiTheme="majorHAnsi" w:cstheme="majorHAnsi"/>
          <w:sz w:val="22"/>
        </w:rPr>
        <w:t>praćenja, evaluacije i izveštavanja</w:t>
      </w:r>
      <w:r w:rsidR="00811B0E" w:rsidRPr="00386B69">
        <w:rPr>
          <w:rFonts w:asciiTheme="majorHAnsi" w:hAnsiTheme="majorHAnsi" w:cstheme="majorHAnsi"/>
          <w:sz w:val="22"/>
        </w:rPr>
        <w:t xml:space="preserve">; </w:t>
      </w:r>
      <w:r>
        <w:rPr>
          <w:rFonts w:asciiTheme="majorHAnsi" w:hAnsiTheme="majorHAnsi" w:cstheme="majorHAnsi"/>
          <w:sz w:val="22"/>
        </w:rPr>
        <w:t>i</w:t>
      </w:r>
    </w:p>
    <w:p w14:paraId="30A49A9A" w14:textId="5E9E4F9E" w:rsidR="007E15DB" w:rsidRPr="00E73840" w:rsidRDefault="00537708"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svih promena projekta koje mogu uticati na zainteresovane strane</w:t>
      </w:r>
      <w:r w:rsidR="00811B0E" w:rsidRPr="00E73840">
        <w:rPr>
          <w:rFonts w:asciiTheme="majorHAnsi" w:hAnsiTheme="majorHAnsi" w:cstheme="majorHAnsi"/>
          <w:sz w:val="22"/>
          <w:lang w:val="it-IT"/>
        </w:rPr>
        <w:t>.</w:t>
      </w:r>
    </w:p>
    <w:p w14:paraId="35CBD3CC" w14:textId="14A69F3D" w:rsidR="007E15DB" w:rsidRPr="00386B69" w:rsidRDefault="00B801A4" w:rsidP="00AC0E2C">
      <w:pPr>
        <w:pStyle w:val="Heading2"/>
        <w:numPr>
          <w:ilvl w:val="1"/>
          <w:numId w:val="19"/>
        </w:numPr>
        <w:spacing w:before="60" w:after="120"/>
        <w:ind w:left="720" w:right="576"/>
        <w:jc w:val="both"/>
        <w:rPr>
          <w:rFonts w:cstheme="majorHAnsi"/>
          <w:color w:val="auto"/>
          <w:sz w:val="22"/>
          <w:szCs w:val="22"/>
        </w:rPr>
      </w:pPr>
      <w:r>
        <w:rPr>
          <w:rFonts w:eastAsia="Arial" w:cstheme="majorHAnsi"/>
          <w:color w:val="auto"/>
          <w:sz w:val="22"/>
          <w:szCs w:val="22"/>
        </w:rPr>
        <w:t>Objavljivanje informacija</w:t>
      </w:r>
    </w:p>
    <w:p w14:paraId="67890862" w14:textId="6EF667E0" w:rsidR="007E15DB" w:rsidRPr="00386B69" w:rsidRDefault="00B801A4" w:rsidP="00AC0E2C">
      <w:pPr>
        <w:spacing w:after="120" w:line="252" w:lineRule="auto"/>
        <w:ind w:left="720" w:right="576"/>
        <w:jc w:val="both"/>
        <w:rPr>
          <w:rFonts w:asciiTheme="majorHAnsi" w:hAnsiTheme="majorHAnsi" w:cstheme="majorHAnsi"/>
          <w:sz w:val="22"/>
        </w:rPr>
      </w:pPr>
      <w:r w:rsidRPr="00B801A4">
        <w:rPr>
          <w:rFonts w:asciiTheme="majorHAnsi" w:hAnsiTheme="majorHAnsi" w:cstheme="majorHAnsi"/>
          <w:sz w:val="22"/>
        </w:rPr>
        <w:t>Relevantne informacije o projektu biće objavljivane blagovremeno, na razumljiv, pristupačan i odgovarajući način. Informacije će biti dostupne putem kanala prilagođenih različitim grupama zainteresovanih strana, uključujući veb-sajt OITEG-a, zvanične portale državnih organa, društvene mreže, javna obaveštenja, direktnu komunikaciju putem elektronske pošte, promotivne događaje, radionice i druge relevantne komunikacione kanale</w:t>
      </w:r>
      <w:r w:rsidR="00811B0E" w:rsidRPr="00386B69">
        <w:rPr>
          <w:rFonts w:asciiTheme="majorHAnsi" w:hAnsiTheme="majorHAnsi" w:cstheme="majorHAnsi"/>
          <w:sz w:val="22"/>
        </w:rPr>
        <w:t>.</w:t>
      </w:r>
    </w:p>
    <w:p w14:paraId="0F137830" w14:textId="794B1900" w:rsidR="007E15DB" w:rsidRPr="00386B69" w:rsidRDefault="00B801A4" w:rsidP="00AC0E2C">
      <w:pPr>
        <w:spacing w:after="120" w:line="252" w:lineRule="auto"/>
        <w:ind w:left="720" w:right="576"/>
        <w:jc w:val="both"/>
        <w:rPr>
          <w:rFonts w:asciiTheme="majorHAnsi" w:hAnsiTheme="majorHAnsi" w:cstheme="majorHAnsi"/>
          <w:sz w:val="22"/>
        </w:rPr>
      </w:pPr>
      <w:r>
        <w:rPr>
          <w:rFonts w:asciiTheme="majorHAnsi" w:hAnsiTheme="majorHAnsi" w:cstheme="majorHAnsi"/>
          <w:sz w:val="22"/>
        </w:rPr>
        <w:t>Objavljene i</w:t>
      </w:r>
      <w:r w:rsidRPr="00B801A4">
        <w:rPr>
          <w:rFonts w:asciiTheme="majorHAnsi" w:hAnsiTheme="majorHAnsi" w:cstheme="majorHAnsi"/>
          <w:sz w:val="22"/>
        </w:rPr>
        <w:t>nform</w:t>
      </w:r>
      <w:r>
        <w:rPr>
          <w:rFonts w:asciiTheme="majorHAnsi" w:hAnsiTheme="majorHAnsi" w:cstheme="majorHAnsi"/>
          <w:sz w:val="22"/>
        </w:rPr>
        <w:t xml:space="preserve">acije </w:t>
      </w:r>
      <w:r w:rsidRPr="00B801A4">
        <w:rPr>
          <w:rFonts w:asciiTheme="majorHAnsi" w:hAnsiTheme="majorHAnsi" w:cstheme="majorHAnsi"/>
          <w:sz w:val="22"/>
        </w:rPr>
        <w:t>uključuju</w:t>
      </w:r>
      <w:r w:rsidR="00811B0E" w:rsidRPr="00386B69">
        <w:rPr>
          <w:rFonts w:asciiTheme="majorHAnsi" w:hAnsiTheme="majorHAnsi" w:cstheme="majorHAnsi"/>
          <w:sz w:val="22"/>
        </w:rPr>
        <w:t>:</w:t>
      </w:r>
    </w:p>
    <w:p w14:paraId="78F68215" w14:textId="5B6A4E50" w:rsidR="007E15DB" w:rsidRPr="00E73840" w:rsidRDefault="00B801A4"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ciljeve projekta, njegove komponente, očekivane koristi i vremenski okvir implementacije</w:t>
      </w:r>
      <w:r w:rsidR="00811B0E" w:rsidRPr="00E73840">
        <w:rPr>
          <w:rFonts w:asciiTheme="majorHAnsi" w:hAnsiTheme="majorHAnsi" w:cstheme="majorHAnsi"/>
          <w:sz w:val="22"/>
          <w:lang w:val="it-IT"/>
        </w:rPr>
        <w:t>;</w:t>
      </w:r>
    </w:p>
    <w:p w14:paraId="23E945C2" w14:textId="0F88A231" w:rsidR="007E15DB" w:rsidRPr="00E73840" w:rsidRDefault="009F2621"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informacije o uvođenju Digitalnog novčanika, registraciji, slučajevima upotrebe, pravima korisnika i kanalima za podršku</w:t>
      </w:r>
      <w:r w:rsidR="00811B0E" w:rsidRPr="00E73840">
        <w:rPr>
          <w:rFonts w:asciiTheme="majorHAnsi" w:hAnsiTheme="majorHAnsi" w:cstheme="majorHAnsi"/>
          <w:sz w:val="22"/>
          <w:lang w:val="it-IT"/>
        </w:rPr>
        <w:t>;</w:t>
      </w:r>
    </w:p>
    <w:p w14:paraId="4725ED22" w14:textId="2C4DB87A" w:rsidR="007E15DB" w:rsidRPr="00E73840" w:rsidRDefault="009F2621"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informacije o uslugama zasnovanim na veštačkoj inteligenciji, uključujući transparentnost, ograničenja i mehanizme pravne zaštite</w:t>
      </w:r>
      <w:r w:rsidR="00811B0E" w:rsidRPr="00E73840">
        <w:rPr>
          <w:rFonts w:asciiTheme="majorHAnsi" w:hAnsiTheme="majorHAnsi" w:cstheme="majorHAnsi"/>
          <w:sz w:val="22"/>
          <w:lang w:val="it-IT"/>
        </w:rPr>
        <w:t>;</w:t>
      </w:r>
    </w:p>
    <w:p w14:paraId="1506FA09" w14:textId="2347196E" w:rsidR="007E15DB" w:rsidRPr="00E73840" w:rsidRDefault="00EF708A"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informacije o zaštiti podataka, sajber bezbednosti i merama zaštite privatnosti</w:t>
      </w:r>
      <w:r w:rsidR="00811B0E" w:rsidRPr="00E73840">
        <w:rPr>
          <w:rFonts w:asciiTheme="majorHAnsi" w:hAnsiTheme="majorHAnsi" w:cstheme="majorHAnsi"/>
          <w:sz w:val="22"/>
          <w:lang w:val="it-IT"/>
        </w:rPr>
        <w:t>;</w:t>
      </w:r>
    </w:p>
    <w:p w14:paraId="47B2E617" w14:textId="022AE5B2" w:rsidR="007E15DB" w:rsidRPr="00E73840" w:rsidRDefault="00EF708A"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informacije o funkcijama pristupačnosti i alternativnim kanalima pristupa</w:t>
      </w:r>
      <w:r w:rsidR="00811B0E" w:rsidRPr="00E73840">
        <w:rPr>
          <w:rFonts w:asciiTheme="majorHAnsi" w:hAnsiTheme="majorHAnsi" w:cstheme="majorHAnsi"/>
          <w:sz w:val="22"/>
          <w:lang w:val="it-IT"/>
        </w:rPr>
        <w:t>;</w:t>
      </w:r>
    </w:p>
    <w:p w14:paraId="3531CA63" w14:textId="5D1ECF99" w:rsidR="007E15DB" w:rsidRPr="00386B69" w:rsidRDefault="00EF708A" w:rsidP="00AC0E2C">
      <w:pPr>
        <w:pStyle w:val="ListBullet"/>
        <w:spacing w:after="120" w:line="252" w:lineRule="auto"/>
        <w:ind w:left="720" w:right="576"/>
        <w:jc w:val="both"/>
        <w:rPr>
          <w:rFonts w:asciiTheme="majorHAnsi" w:hAnsiTheme="majorHAnsi" w:cstheme="majorHAnsi"/>
          <w:sz w:val="22"/>
        </w:rPr>
      </w:pPr>
      <w:r w:rsidRPr="00EF708A">
        <w:rPr>
          <w:rFonts w:asciiTheme="majorHAnsi" w:hAnsiTheme="majorHAnsi" w:cstheme="majorHAnsi"/>
          <w:sz w:val="22"/>
        </w:rPr>
        <w:t>najave konsultacija i njihove sažetke</w:t>
      </w:r>
      <w:r w:rsidR="00811B0E" w:rsidRPr="00386B69">
        <w:rPr>
          <w:rFonts w:asciiTheme="majorHAnsi" w:hAnsiTheme="majorHAnsi" w:cstheme="majorHAnsi"/>
          <w:sz w:val="22"/>
        </w:rPr>
        <w:t>;</w:t>
      </w:r>
    </w:p>
    <w:p w14:paraId="522DFD1F" w14:textId="75A82705" w:rsidR="007E15DB" w:rsidRPr="00E73840" w:rsidRDefault="00EF708A"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kanale i procedure za podnošenje pritužbi u okviru mehanizma za rešavanje pritužbi</w:t>
      </w:r>
      <w:r w:rsidR="00811B0E" w:rsidRPr="00E73840">
        <w:rPr>
          <w:rFonts w:asciiTheme="majorHAnsi" w:hAnsiTheme="majorHAnsi" w:cstheme="majorHAnsi"/>
          <w:sz w:val="22"/>
          <w:lang w:val="it-IT"/>
        </w:rPr>
        <w:t xml:space="preserve">; </w:t>
      </w:r>
      <w:r w:rsidRPr="00E73840">
        <w:rPr>
          <w:rFonts w:asciiTheme="majorHAnsi" w:hAnsiTheme="majorHAnsi" w:cstheme="majorHAnsi"/>
          <w:sz w:val="22"/>
          <w:lang w:val="it-IT"/>
        </w:rPr>
        <w:t>i</w:t>
      </w:r>
    </w:p>
    <w:p w14:paraId="49548134" w14:textId="0FDBC5A9" w:rsidR="007E15DB" w:rsidRPr="00E73840" w:rsidRDefault="00EF708A"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periodična ažuriranja o sprovođenju projekta i povratnim informacijama zainteresovanih strana</w:t>
      </w:r>
      <w:r w:rsidR="00811B0E" w:rsidRPr="00E73840">
        <w:rPr>
          <w:rFonts w:asciiTheme="majorHAnsi" w:hAnsiTheme="majorHAnsi" w:cstheme="majorHAnsi"/>
          <w:sz w:val="22"/>
          <w:lang w:val="it-IT"/>
        </w:rPr>
        <w:t>.</w:t>
      </w:r>
    </w:p>
    <w:p w14:paraId="49ED73CB" w14:textId="1801506F" w:rsidR="007E15DB" w:rsidRPr="00E73840" w:rsidRDefault="00C02ED1" w:rsidP="00AC0E2C">
      <w:pPr>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Objavljivanje informacija biće obezbeđeno na srpskom jeziku, a po potrebi i na engleskom ili drugim jezicima za određene grupe, kao što su strani državljani. Mere pristupačnosti mogu sadr</w:t>
      </w:r>
      <w:r>
        <w:rPr>
          <w:rFonts w:asciiTheme="majorHAnsi" w:hAnsiTheme="majorHAnsi" w:cstheme="majorHAnsi"/>
          <w:sz w:val="22"/>
          <w:lang w:val="sr-Latn-RS"/>
        </w:rPr>
        <w:t>žati</w:t>
      </w:r>
      <w:r w:rsidRPr="00E73840">
        <w:rPr>
          <w:rFonts w:asciiTheme="majorHAnsi" w:hAnsiTheme="majorHAnsi" w:cstheme="majorHAnsi"/>
          <w:sz w:val="22"/>
          <w:lang w:val="it-IT"/>
        </w:rPr>
        <w:t xml:space="preserve"> sažetke napisane jednostavnim jezikom, formate prilagođene mobilnim uređaj</w:t>
      </w:r>
      <w:r w:rsidR="00F07043" w:rsidRPr="00E73840">
        <w:rPr>
          <w:rFonts w:asciiTheme="majorHAnsi" w:hAnsiTheme="majorHAnsi" w:cstheme="majorHAnsi"/>
          <w:sz w:val="22"/>
          <w:lang w:val="it-IT"/>
        </w:rPr>
        <w:t xml:space="preserve">ima, pristupačan sadržaj na veb </w:t>
      </w:r>
      <w:r w:rsidRPr="00E73840">
        <w:rPr>
          <w:rFonts w:asciiTheme="majorHAnsi" w:hAnsiTheme="majorHAnsi" w:cstheme="majorHAnsi"/>
          <w:sz w:val="22"/>
          <w:lang w:val="it-IT"/>
        </w:rPr>
        <w:t>sajtovima, titlove ili tumačenje na znakovni jezik za određene događaje, kao i štampane materijale kada je to potrebno</w:t>
      </w:r>
      <w:r w:rsidR="00811B0E" w:rsidRPr="00E73840">
        <w:rPr>
          <w:rFonts w:asciiTheme="majorHAnsi" w:hAnsiTheme="majorHAnsi" w:cstheme="majorHAnsi"/>
          <w:sz w:val="22"/>
          <w:lang w:val="it-IT"/>
        </w:rPr>
        <w:t>.</w:t>
      </w:r>
    </w:p>
    <w:p w14:paraId="57DC9151" w14:textId="3C8569C5" w:rsidR="00B06315" w:rsidRPr="00E73840" w:rsidRDefault="00C02ED1" w:rsidP="00495BBE">
      <w:pPr>
        <w:pStyle w:val="Heading2"/>
        <w:numPr>
          <w:ilvl w:val="1"/>
          <w:numId w:val="19"/>
        </w:numPr>
        <w:spacing w:before="60" w:after="120"/>
        <w:ind w:left="720" w:right="576"/>
        <w:jc w:val="both"/>
        <w:rPr>
          <w:rFonts w:cstheme="majorHAnsi"/>
          <w:sz w:val="22"/>
          <w:lang w:val="it-IT"/>
        </w:rPr>
      </w:pPr>
      <w:r w:rsidRPr="00E73840">
        <w:rPr>
          <w:rFonts w:eastAsia="Arial" w:cstheme="majorHAnsi"/>
          <w:color w:val="auto"/>
          <w:sz w:val="22"/>
          <w:szCs w:val="22"/>
          <w:lang w:val="it-IT"/>
        </w:rPr>
        <w:t>Konsultacije i metode prikupljanja povratnih informacija</w:t>
      </w:r>
    </w:p>
    <w:p w14:paraId="43BFB38E" w14:textId="3389DCDE" w:rsidR="00B06315" w:rsidRPr="00E73840" w:rsidRDefault="00F07043" w:rsidP="00B06315">
      <w:pPr>
        <w:pStyle w:val="ListParagraph"/>
        <w:numPr>
          <w:ilvl w:val="0"/>
          <w:numId w:val="19"/>
        </w:numPr>
        <w:spacing w:after="120"/>
        <w:jc w:val="both"/>
        <w:rPr>
          <w:lang w:val="it-IT"/>
        </w:rPr>
      </w:pPr>
      <w:r w:rsidRPr="00E73840">
        <w:rPr>
          <w:lang w:val="it-IT"/>
        </w:rPr>
        <w:t>Imajući u vidu digitalnu prirodu projekta, metode angažovanja koristiće i digitalne i tradicionalne kanale kako bi se obezbedio širok i inkluzivan obuhvat</w:t>
      </w:r>
      <w:r w:rsidR="00B06315" w:rsidRPr="00E73840">
        <w:rPr>
          <w:lang w:val="it-IT"/>
        </w:rPr>
        <w:t>.</w:t>
      </w:r>
    </w:p>
    <w:p w14:paraId="2C583457" w14:textId="4379180F" w:rsidR="00B06315" w:rsidRPr="00E73840" w:rsidRDefault="00F07043" w:rsidP="00B06315">
      <w:pPr>
        <w:pStyle w:val="ListParagraph"/>
        <w:numPr>
          <w:ilvl w:val="0"/>
          <w:numId w:val="19"/>
        </w:numPr>
        <w:spacing w:after="120"/>
        <w:jc w:val="both"/>
        <w:rPr>
          <w:lang w:val="it-IT"/>
        </w:rPr>
      </w:pPr>
      <w:r w:rsidRPr="00E73840">
        <w:rPr>
          <w:lang w:val="it-IT"/>
        </w:rPr>
        <w:t>Digitalni kanali: veb sajt projekta, obaveštenja putem elektronske pošte, platforme društvenih mreža, vebinari, onlajn ankete i obrasci za dostavljanje povratnih informacija na portalima digitalnih usluga</w:t>
      </w:r>
      <w:r w:rsidR="00B06315" w:rsidRPr="00E73840">
        <w:rPr>
          <w:lang w:val="it-IT"/>
        </w:rPr>
        <w:t>.</w:t>
      </w:r>
    </w:p>
    <w:p w14:paraId="4EDCBAB5" w14:textId="59070DFF" w:rsidR="00B06315" w:rsidRPr="00E73840" w:rsidRDefault="00194692" w:rsidP="00B06315">
      <w:pPr>
        <w:pStyle w:val="ListParagraph"/>
        <w:numPr>
          <w:ilvl w:val="0"/>
          <w:numId w:val="19"/>
        </w:numPr>
        <w:spacing w:after="120"/>
        <w:jc w:val="both"/>
        <w:rPr>
          <w:lang w:val="it-IT"/>
        </w:rPr>
      </w:pPr>
      <w:r w:rsidRPr="00E73840">
        <w:rPr>
          <w:lang w:val="it-IT"/>
        </w:rPr>
        <w:lastRenderedPageBreak/>
        <w:t>Kanali komunikacije uživo: sastanci javnih konsultacija, radionice sa državnim organima i organizacijama civilnog društva, fokus grupe sa ranjivim zajednicama i informativni punktovi u centrima za pružanje usluga građanima</w:t>
      </w:r>
      <w:r w:rsidR="00B06315" w:rsidRPr="00E73840">
        <w:rPr>
          <w:lang w:val="it-IT"/>
        </w:rPr>
        <w:t>.</w:t>
      </w:r>
    </w:p>
    <w:p w14:paraId="04F38813" w14:textId="1235FA62" w:rsidR="00B06315" w:rsidRPr="00E73840" w:rsidRDefault="00194692" w:rsidP="00B06315">
      <w:pPr>
        <w:pStyle w:val="ListParagraph"/>
        <w:numPr>
          <w:ilvl w:val="0"/>
          <w:numId w:val="19"/>
        </w:numPr>
        <w:spacing w:after="120"/>
        <w:jc w:val="both"/>
        <w:rPr>
          <w:lang w:val="it-IT"/>
        </w:rPr>
      </w:pPr>
      <w:r w:rsidRPr="00E73840">
        <w:rPr>
          <w:lang w:val="it-IT"/>
        </w:rPr>
        <w:t>Tradicionalni kanali: saopštenja za medije, radio-obaveštenja, štampane brošure i posteri na lokalnim jezicima, kao i direktna korespondencija sa ključnim institucijama</w:t>
      </w:r>
      <w:r w:rsidR="00B06315" w:rsidRPr="00E73840">
        <w:rPr>
          <w:lang w:val="it-IT"/>
        </w:rPr>
        <w:t>.</w:t>
      </w:r>
    </w:p>
    <w:p w14:paraId="0DB7FDF9" w14:textId="4BE5F97B" w:rsidR="00B06315" w:rsidRPr="00E73840" w:rsidRDefault="00194692" w:rsidP="00B06315">
      <w:pPr>
        <w:pStyle w:val="ListParagraph"/>
        <w:numPr>
          <w:ilvl w:val="0"/>
          <w:numId w:val="19"/>
        </w:numPr>
        <w:spacing w:after="120"/>
        <w:jc w:val="both"/>
        <w:rPr>
          <w:lang w:val="it-IT"/>
        </w:rPr>
      </w:pPr>
      <w:r w:rsidRPr="00E73840">
        <w:rPr>
          <w:lang w:val="it-IT"/>
        </w:rPr>
        <w:t>Za stanovništvo sa ograničenim pristupom digitalnim tehnologijama, prioritet će imati komunikacija putem neposrednih i tradicionalnih kanala kako bi se obezbedilo da nijedna grupa ne bude isključena iz procesa angažovanja</w:t>
      </w:r>
      <w:r w:rsidR="00B06315" w:rsidRPr="00E73840">
        <w:rPr>
          <w:lang w:val="it-IT"/>
        </w:rPr>
        <w:t>.</w:t>
      </w:r>
    </w:p>
    <w:p w14:paraId="09ECFA9B" w14:textId="64CE709E" w:rsidR="00B06315" w:rsidRPr="00E73840" w:rsidRDefault="00B06315" w:rsidP="00495BBE">
      <w:pPr>
        <w:rPr>
          <w:lang w:val="it-IT"/>
        </w:rPr>
      </w:pPr>
    </w:p>
    <w:p w14:paraId="0C72880A" w14:textId="3DD1896B" w:rsidR="007E15DB" w:rsidRPr="00386B69" w:rsidRDefault="00194692" w:rsidP="00AC0E2C">
      <w:pPr>
        <w:spacing w:after="120" w:line="252" w:lineRule="auto"/>
        <w:ind w:left="720" w:right="576"/>
        <w:jc w:val="both"/>
        <w:rPr>
          <w:rFonts w:asciiTheme="majorHAnsi" w:hAnsiTheme="majorHAnsi" w:cstheme="majorHAnsi"/>
          <w:sz w:val="22"/>
        </w:rPr>
      </w:pPr>
      <w:r>
        <w:rPr>
          <w:rFonts w:asciiTheme="majorHAnsi" w:hAnsiTheme="majorHAnsi" w:cstheme="majorHAnsi"/>
          <w:sz w:val="22"/>
        </w:rPr>
        <w:t>Metode mogu da uključuju</w:t>
      </w:r>
      <w:r w:rsidR="00811B0E" w:rsidRPr="00386B69">
        <w:rPr>
          <w:rFonts w:asciiTheme="majorHAnsi" w:hAnsiTheme="majorHAnsi" w:cstheme="majorHAnsi"/>
          <w:sz w:val="22"/>
        </w:rPr>
        <w:t>:</w:t>
      </w:r>
    </w:p>
    <w:p w14:paraId="20D9968A" w14:textId="26F5301B" w:rsidR="007E15DB" w:rsidRPr="00386B69" w:rsidRDefault="00194692"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t</w:t>
      </w:r>
      <w:r w:rsidRPr="00194692">
        <w:rPr>
          <w:rFonts w:asciiTheme="majorHAnsi" w:hAnsiTheme="majorHAnsi" w:cstheme="majorHAnsi"/>
          <w:sz w:val="22"/>
        </w:rPr>
        <w:t>ehničke radne sastanke sa državnim institucijama</w:t>
      </w:r>
      <w:r w:rsidR="00811B0E" w:rsidRPr="00386B69">
        <w:rPr>
          <w:rFonts w:asciiTheme="majorHAnsi" w:hAnsiTheme="majorHAnsi" w:cstheme="majorHAnsi"/>
          <w:sz w:val="22"/>
        </w:rPr>
        <w:t>;</w:t>
      </w:r>
    </w:p>
    <w:p w14:paraId="5670FABB" w14:textId="4C539BED" w:rsidR="007E15DB" w:rsidRPr="00E73840" w:rsidRDefault="00194692"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javne informativne sesije i vebinare</w:t>
      </w:r>
      <w:r w:rsidR="00811B0E" w:rsidRPr="00E73840">
        <w:rPr>
          <w:rFonts w:asciiTheme="majorHAnsi" w:hAnsiTheme="majorHAnsi" w:cstheme="majorHAnsi"/>
          <w:sz w:val="22"/>
          <w:lang w:val="it-IT"/>
        </w:rPr>
        <w:t>;</w:t>
      </w:r>
    </w:p>
    <w:p w14:paraId="474FC687" w14:textId="1775A589" w:rsidR="007E15DB" w:rsidRPr="00386B69" w:rsidRDefault="00194692"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ciljane fikus grupe</w:t>
      </w:r>
      <w:r w:rsidR="00811B0E" w:rsidRPr="00386B69">
        <w:rPr>
          <w:rFonts w:asciiTheme="majorHAnsi" w:hAnsiTheme="majorHAnsi" w:cstheme="majorHAnsi"/>
          <w:sz w:val="22"/>
        </w:rPr>
        <w:t>;</w:t>
      </w:r>
    </w:p>
    <w:p w14:paraId="5A8006C7" w14:textId="588FA8AF" w:rsidR="007E15DB" w:rsidRPr="00386B69" w:rsidRDefault="00194692"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t</w:t>
      </w:r>
      <w:r w:rsidRPr="00194692">
        <w:rPr>
          <w:rFonts w:asciiTheme="majorHAnsi" w:hAnsiTheme="majorHAnsi" w:cstheme="majorHAnsi"/>
          <w:sz w:val="22"/>
        </w:rPr>
        <w:t>estiranje korisničkog iskustva i upotrebljivosti, uključujući i ranjive grupe</w:t>
      </w:r>
      <w:r w:rsidR="00811B0E" w:rsidRPr="00386B69">
        <w:rPr>
          <w:rFonts w:asciiTheme="majorHAnsi" w:hAnsiTheme="majorHAnsi" w:cstheme="majorHAnsi"/>
          <w:sz w:val="22"/>
        </w:rPr>
        <w:t>;</w:t>
      </w:r>
    </w:p>
    <w:p w14:paraId="7C90E30C" w14:textId="204D8202" w:rsidR="007E15DB" w:rsidRPr="00E73840" w:rsidRDefault="00194692"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onlajn ankete i obrasce za povratne informacije</w:t>
      </w:r>
      <w:r w:rsidR="00811B0E" w:rsidRPr="00E73840">
        <w:rPr>
          <w:rFonts w:asciiTheme="majorHAnsi" w:hAnsiTheme="majorHAnsi" w:cstheme="majorHAnsi"/>
          <w:sz w:val="22"/>
          <w:lang w:val="it-IT"/>
        </w:rPr>
        <w:t>;</w:t>
      </w:r>
    </w:p>
    <w:p w14:paraId="5D632CA2" w14:textId="06C18DA6" w:rsidR="007E15DB" w:rsidRPr="00386B69" w:rsidRDefault="00C21548"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t</w:t>
      </w:r>
      <w:r w:rsidRPr="00C21548">
        <w:rPr>
          <w:rFonts w:asciiTheme="majorHAnsi" w:hAnsiTheme="majorHAnsi" w:cstheme="majorHAnsi"/>
          <w:sz w:val="22"/>
        </w:rPr>
        <w:t>erenske događaje i kampanje za registraciju;</w:t>
      </w:r>
    </w:p>
    <w:p w14:paraId="40B424A2" w14:textId="2727BCB1" w:rsidR="007E15DB" w:rsidRPr="00E73840" w:rsidRDefault="00C21548"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ankete za povratne informacije nakon obuka</w:t>
      </w:r>
      <w:r w:rsidR="00811B0E" w:rsidRPr="00E73840">
        <w:rPr>
          <w:rFonts w:asciiTheme="majorHAnsi" w:hAnsiTheme="majorHAnsi" w:cstheme="majorHAnsi"/>
          <w:sz w:val="22"/>
          <w:lang w:val="it-IT"/>
        </w:rPr>
        <w:t>;</w:t>
      </w:r>
    </w:p>
    <w:p w14:paraId="59EE3643" w14:textId="10B09233" w:rsidR="007E15DB" w:rsidRPr="00E73840" w:rsidRDefault="00C21548"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konsultacije sa organizacijama civilnog društva i reprezentativnim organizacijama</w:t>
      </w:r>
      <w:r w:rsidR="00811B0E" w:rsidRPr="00E73840">
        <w:rPr>
          <w:rFonts w:asciiTheme="majorHAnsi" w:hAnsiTheme="majorHAnsi" w:cstheme="majorHAnsi"/>
          <w:sz w:val="22"/>
          <w:lang w:val="it-IT"/>
        </w:rPr>
        <w:t>;</w:t>
      </w:r>
    </w:p>
    <w:p w14:paraId="22A49942" w14:textId="51B185E6" w:rsidR="007E15DB" w:rsidRPr="00E73840" w:rsidRDefault="00067130"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angažovanje tržišta i informativne sesije sa MSP-ovima, startapovima, pružaocima AI rešenja, firmama za sajber bezbednost i GovTech pružaocima</w:t>
      </w:r>
      <w:r w:rsidR="00811B0E" w:rsidRPr="00E73840">
        <w:rPr>
          <w:rFonts w:asciiTheme="majorHAnsi" w:hAnsiTheme="majorHAnsi" w:cstheme="majorHAnsi"/>
          <w:sz w:val="22"/>
          <w:lang w:val="it-IT"/>
        </w:rPr>
        <w:t>;</w:t>
      </w:r>
    </w:p>
    <w:p w14:paraId="1F98488D" w14:textId="2FBFFEDF" w:rsidR="007E15DB" w:rsidRPr="00386B69" w:rsidRDefault="00067130"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j</w:t>
      </w:r>
      <w:r w:rsidRPr="00067130">
        <w:rPr>
          <w:rFonts w:asciiTheme="majorHAnsi" w:hAnsiTheme="majorHAnsi" w:cstheme="majorHAnsi"/>
          <w:sz w:val="22"/>
        </w:rPr>
        <w:t>avne komunikacione kampanje</w:t>
      </w:r>
      <w:r w:rsidR="00811B0E" w:rsidRPr="00386B69">
        <w:rPr>
          <w:rFonts w:asciiTheme="majorHAnsi" w:hAnsiTheme="majorHAnsi" w:cstheme="majorHAnsi"/>
          <w:sz w:val="22"/>
        </w:rPr>
        <w:t xml:space="preserve">; </w:t>
      </w:r>
      <w:r>
        <w:rPr>
          <w:rFonts w:asciiTheme="majorHAnsi" w:hAnsiTheme="majorHAnsi" w:cstheme="majorHAnsi"/>
          <w:sz w:val="22"/>
        </w:rPr>
        <w:t>i</w:t>
      </w:r>
    </w:p>
    <w:p w14:paraId="30241F51" w14:textId="08BF6491" w:rsidR="007E15DB" w:rsidRPr="00E73840" w:rsidRDefault="00067130"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kanale GRM-a i službe za podršku</w:t>
      </w:r>
      <w:r w:rsidR="00811B0E" w:rsidRPr="00E73840">
        <w:rPr>
          <w:rFonts w:asciiTheme="majorHAnsi" w:hAnsiTheme="majorHAnsi" w:cstheme="majorHAnsi"/>
          <w:sz w:val="22"/>
          <w:lang w:val="it-IT"/>
        </w:rPr>
        <w:t>.</w:t>
      </w:r>
    </w:p>
    <w:p w14:paraId="74D234F3" w14:textId="44D685E1" w:rsidR="007E15DB" w:rsidRPr="00E73840" w:rsidRDefault="00B36F22" w:rsidP="00AC0E2C">
      <w:pPr>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Konsultacije će biti dokumentovane, uključujući datum, format, učesnike, teme o kojima se razgovaralo, primljene povratne informacije i mere koje su preduzete nakon toga</w:t>
      </w:r>
      <w:r w:rsidR="00811B0E" w:rsidRPr="00E73840">
        <w:rPr>
          <w:rFonts w:asciiTheme="majorHAnsi" w:hAnsiTheme="majorHAnsi" w:cstheme="majorHAnsi"/>
          <w:sz w:val="22"/>
          <w:lang w:val="it-IT"/>
        </w:rPr>
        <w:t>.</w:t>
      </w:r>
    </w:p>
    <w:p w14:paraId="3F4635E7" w14:textId="781BD5C0" w:rsidR="007E15DB" w:rsidRPr="00E73840" w:rsidRDefault="00DD745E" w:rsidP="008847FD">
      <w:pPr>
        <w:pStyle w:val="Heading2"/>
        <w:numPr>
          <w:ilvl w:val="1"/>
          <w:numId w:val="19"/>
        </w:numPr>
        <w:spacing w:before="60" w:after="120"/>
        <w:ind w:left="720" w:right="576"/>
        <w:jc w:val="both"/>
        <w:rPr>
          <w:rFonts w:cstheme="majorHAnsi"/>
          <w:color w:val="auto"/>
          <w:sz w:val="22"/>
          <w:szCs w:val="22"/>
          <w:lang w:val="it-IT"/>
        </w:rPr>
      </w:pPr>
      <w:r w:rsidRPr="00E73840">
        <w:rPr>
          <w:rFonts w:eastAsia="Arial" w:cstheme="majorHAnsi"/>
          <w:color w:val="auto"/>
          <w:sz w:val="22"/>
          <w:szCs w:val="22"/>
          <w:lang w:val="it-IT"/>
        </w:rPr>
        <w:t>Mere za podršku učešću ranjivih grupa</w:t>
      </w:r>
    </w:p>
    <w:p w14:paraId="038EC0DA" w14:textId="4242CB4F" w:rsidR="007E15DB" w:rsidRPr="00E73840" w:rsidRDefault="00DD745E" w:rsidP="00AC0E2C">
      <w:pPr>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 xml:space="preserve">U cilju podrške učešću ugroženih i ranjivih grupa, projekat će primenjivati </w:t>
      </w:r>
      <w:r w:rsidR="005D15E9" w:rsidRPr="00E73840">
        <w:rPr>
          <w:rFonts w:asciiTheme="majorHAnsi" w:hAnsiTheme="majorHAnsi" w:cstheme="majorHAnsi"/>
          <w:sz w:val="22"/>
          <w:lang w:val="it-IT"/>
        </w:rPr>
        <w:t xml:space="preserve">sledeće </w:t>
      </w:r>
      <w:r w:rsidRPr="00E73840">
        <w:rPr>
          <w:rFonts w:asciiTheme="majorHAnsi" w:hAnsiTheme="majorHAnsi" w:cstheme="majorHAnsi"/>
          <w:sz w:val="22"/>
          <w:lang w:val="it-IT"/>
        </w:rPr>
        <w:t xml:space="preserve">diferencirane mere, </w:t>
      </w:r>
      <w:r w:rsidR="005D15E9" w:rsidRPr="00E73840">
        <w:rPr>
          <w:rFonts w:asciiTheme="majorHAnsi" w:hAnsiTheme="majorHAnsi" w:cstheme="majorHAnsi"/>
          <w:sz w:val="22"/>
          <w:lang w:val="it-IT"/>
        </w:rPr>
        <w:t>gde je to relevantno</w:t>
      </w:r>
      <w:r w:rsidR="00811B0E" w:rsidRPr="00E73840">
        <w:rPr>
          <w:rFonts w:asciiTheme="majorHAnsi" w:hAnsiTheme="majorHAnsi" w:cstheme="majorHAnsi"/>
          <w:sz w:val="22"/>
          <w:lang w:val="it-IT"/>
        </w:rPr>
        <w:t>:</w:t>
      </w:r>
    </w:p>
    <w:p w14:paraId="16892E2F" w14:textId="02F3788F" w:rsidR="007E15DB" w:rsidRPr="00E73840" w:rsidRDefault="005D15E9"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jednostavnu i jasnu komunikaciju na netehničkom jeziku</w:t>
      </w:r>
      <w:r w:rsidR="00811B0E" w:rsidRPr="00E73840">
        <w:rPr>
          <w:rFonts w:asciiTheme="majorHAnsi" w:hAnsiTheme="majorHAnsi" w:cstheme="majorHAnsi"/>
          <w:sz w:val="22"/>
          <w:lang w:val="it-IT"/>
        </w:rPr>
        <w:t>;</w:t>
      </w:r>
    </w:p>
    <w:p w14:paraId="27BD8363" w14:textId="00B54A23" w:rsidR="007E15DB" w:rsidRPr="00E73840" w:rsidRDefault="005D15E9"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pristupačan digitalni sadržaj i formate prilagođene mobilnim uređajima</w:t>
      </w:r>
      <w:r w:rsidR="00811B0E" w:rsidRPr="00E73840">
        <w:rPr>
          <w:rFonts w:asciiTheme="majorHAnsi" w:hAnsiTheme="majorHAnsi" w:cstheme="majorHAnsi"/>
          <w:sz w:val="22"/>
          <w:lang w:val="it-IT"/>
        </w:rPr>
        <w:t>;</w:t>
      </w:r>
    </w:p>
    <w:p w14:paraId="2C663D4A" w14:textId="67933E3A" w:rsidR="007E15DB" w:rsidRPr="00E73840" w:rsidRDefault="005D15E9"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asistirane kanale za korisnike koji ne mogu samostalno da koriste digitalne usluge</w:t>
      </w:r>
      <w:r w:rsidR="00811B0E" w:rsidRPr="00E73840">
        <w:rPr>
          <w:rFonts w:asciiTheme="majorHAnsi" w:hAnsiTheme="majorHAnsi" w:cstheme="majorHAnsi"/>
          <w:sz w:val="22"/>
          <w:lang w:val="it-IT"/>
        </w:rPr>
        <w:t>;</w:t>
      </w:r>
    </w:p>
    <w:p w14:paraId="694A0EEE" w14:textId="2FA386C2" w:rsidR="007E15DB" w:rsidRPr="00E73840" w:rsidRDefault="005D15E9"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ciljano informisanje kroz organizacije civilnog društva, lokalne institucije i reprezentativne organizacije</w:t>
      </w:r>
      <w:r w:rsidR="00811B0E" w:rsidRPr="00E73840">
        <w:rPr>
          <w:rFonts w:asciiTheme="majorHAnsi" w:hAnsiTheme="majorHAnsi" w:cstheme="majorHAnsi"/>
          <w:sz w:val="22"/>
          <w:lang w:val="it-IT"/>
        </w:rPr>
        <w:t>;</w:t>
      </w:r>
    </w:p>
    <w:p w14:paraId="592BB280" w14:textId="3E4C4E92" w:rsidR="007E15DB" w:rsidRPr="00E73840" w:rsidRDefault="005D15E9"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mesta i formate konsultacija pristupačne osobama sa invaliditetom</w:t>
      </w:r>
      <w:r w:rsidR="00811B0E" w:rsidRPr="00E73840">
        <w:rPr>
          <w:rFonts w:asciiTheme="majorHAnsi" w:hAnsiTheme="majorHAnsi" w:cstheme="majorHAnsi"/>
          <w:sz w:val="22"/>
          <w:lang w:val="it-IT"/>
        </w:rPr>
        <w:t>;</w:t>
      </w:r>
    </w:p>
    <w:p w14:paraId="7C6BC3DE" w14:textId="7D105D70" w:rsidR="007E15DB" w:rsidRPr="00E73840" w:rsidRDefault="009273C6"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alternativne formate za korisnike sa vizuelnim, slušnim, kognitivnim ili motoričkim poteškoćama</w:t>
      </w:r>
      <w:r w:rsidR="00811B0E" w:rsidRPr="00E73840">
        <w:rPr>
          <w:rFonts w:asciiTheme="majorHAnsi" w:hAnsiTheme="majorHAnsi" w:cstheme="majorHAnsi"/>
          <w:sz w:val="22"/>
          <w:lang w:val="it-IT"/>
        </w:rPr>
        <w:t>;</w:t>
      </w:r>
    </w:p>
    <w:p w14:paraId="4D462704" w14:textId="4EABAAB1" w:rsidR="007E15DB" w:rsidRPr="00E73840" w:rsidRDefault="009273C6"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termine i formate konsultacija prilagođene različitim grupama</w:t>
      </w:r>
      <w:r w:rsidR="00811B0E" w:rsidRPr="00E73840">
        <w:rPr>
          <w:rFonts w:asciiTheme="majorHAnsi" w:hAnsiTheme="majorHAnsi" w:cstheme="majorHAnsi"/>
          <w:sz w:val="22"/>
          <w:lang w:val="it-IT"/>
        </w:rPr>
        <w:t>;</w:t>
      </w:r>
    </w:p>
    <w:p w14:paraId="1753989A" w14:textId="2B9B8D9B" w:rsidR="007E15DB" w:rsidRPr="00E73840" w:rsidRDefault="009273C6" w:rsidP="00AC0E2C">
      <w:pPr>
        <w:pStyle w:val="ListBullet"/>
        <w:spacing w:after="120" w:line="252" w:lineRule="auto"/>
        <w:ind w:left="720" w:right="576"/>
        <w:jc w:val="both"/>
        <w:rPr>
          <w:rFonts w:asciiTheme="majorHAnsi" w:hAnsiTheme="majorHAnsi" w:cstheme="majorHAnsi"/>
          <w:sz w:val="22"/>
          <w:lang w:val="it-IT"/>
        </w:rPr>
      </w:pPr>
      <w:r w:rsidRPr="00E73840">
        <w:rPr>
          <w:rFonts w:asciiTheme="majorHAnsi" w:hAnsiTheme="majorHAnsi" w:cstheme="majorHAnsi"/>
          <w:sz w:val="22"/>
          <w:lang w:val="it-IT"/>
        </w:rPr>
        <w:t>aktivnosti van Beograda, uključujući ruralna i nedovoljno pokrivena područja, gde je relevantno</w:t>
      </w:r>
      <w:r w:rsidR="00811B0E" w:rsidRPr="00E73840">
        <w:rPr>
          <w:rFonts w:asciiTheme="majorHAnsi" w:hAnsiTheme="majorHAnsi" w:cstheme="majorHAnsi"/>
          <w:sz w:val="22"/>
          <w:lang w:val="it-IT"/>
        </w:rPr>
        <w:t>;</w:t>
      </w:r>
    </w:p>
    <w:p w14:paraId="7D11FEBE" w14:textId="2A783003" w:rsidR="007E15DB" w:rsidRPr="00386B69" w:rsidRDefault="00906065" w:rsidP="00AC0E2C">
      <w:pPr>
        <w:pStyle w:val="ListBullet"/>
        <w:spacing w:after="120" w:line="252" w:lineRule="auto"/>
        <w:ind w:left="720" w:right="576"/>
        <w:jc w:val="both"/>
        <w:rPr>
          <w:rFonts w:asciiTheme="majorHAnsi" w:hAnsiTheme="majorHAnsi" w:cstheme="majorHAnsi"/>
          <w:sz w:val="22"/>
        </w:rPr>
      </w:pPr>
      <w:r w:rsidRPr="00906065">
        <w:rPr>
          <w:rFonts w:asciiTheme="majorHAnsi" w:hAnsiTheme="majorHAnsi" w:cstheme="majorHAnsi"/>
          <w:sz w:val="22"/>
        </w:rPr>
        <w:t>rodno osetljiv pristup informisanju i praćenju</w:t>
      </w:r>
      <w:r w:rsidR="00811B0E" w:rsidRPr="00386B69">
        <w:rPr>
          <w:rFonts w:asciiTheme="majorHAnsi" w:hAnsiTheme="majorHAnsi" w:cstheme="majorHAnsi"/>
          <w:sz w:val="22"/>
        </w:rPr>
        <w:t xml:space="preserve">; </w:t>
      </w:r>
      <w:r>
        <w:rPr>
          <w:rFonts w:asciiTheme="majorHAnsi" w:hAnsiTheme="majorHAnsi" w:cstheme="majorHAnsi"/>
          <w:sz w:val="22"/>
        </w:rPr>
        <w:t>i</w:t>
      </w:r>
    </w:p>
    <w:p w14:paraId="2C0FAE47" w14:textId="3DA66EAD" w:rsidR="0051116F" w:rsidRPr="00E73840" w:rsidRDefault="00906065" w:rsidP="00495BBE">
      <w:pPr>
        <w:pStyle w:val="ListBullet"/>
        <w:spacing w:after="120" w:line="252" w:lineRule="auto"/>
        <w:ind w:left="720" w:right="576"/>
        <w:jc w:val="both"/>
        <w:rPr>
          <w:lang w:val="it-IT"/>
        </w:rPr>
      </w:pPr>
      <w:r w:rsidRPr="00E73840">
        <w:rPr>
          <w:rFonts w:asciiTheme="majorHAnsi" w:hAnsiTheme="majorHAnsi" w:cstheme="majorHAnsi"/>
          <w:sz w:val="22"/>
          <w:lang w:val="it-IT"/>
        </w:rPr>
        <w:t>kanale za povratne informacije koji ne zahtevaju napredne digitalne veštine</w:t>
      </w:r>
      <w:r w:rsidR="00811B0E" w:rsidRPr="00E73840">
        <w:rPr>
          <w:rFonts w:asciiTheme="majorHAnsi" w:hAnsiTheme="majorHAnsi" w:cstheme="majorHAnsi"/>
          <w:sz w:val="22"/>
          <w:lang w:val="it-IT"/>
        </w:rPr>
        <w:t>.</w:t>
      </w:r>
      <w:r w:rsidRPr="00E73840">
        <w:rPr>
          <w:rFonts w:asciiTheme="majorHAnsi" w:hAnsiTheme="majorHAnsi" w:cstheme="majorHAnsi"/>
          <w:sz w:val="22"/>
          <w:lang w:val="it-IT"/>
        </w:rPr>
        <w:t xml:space="preserve"> </w:t>
      </w:r>
      <w:r w:rsidRPr="00E73840">
        <w:rPr>
          <w:lang w:val="it-IT"/>
        </w:rPr>
        <w:t>Sistemi veštačke inteligencije koji se koriste u pružanju javnih usluga biće procenjeni u pogledu potencijalne algoritamske pristrasnosti prema ranjivim grupama, a pogođene strane će imati jasan mehanizam za osporavanje odluka donetih uz pomoć veštačke inteligencije</w:t>
      </w:r>
      <w:r w:rsidR="0051116F" w:rsidRPr="00E73840">
        <w:rPr>
          <w:lang w:val="it-IT"/>
        </w:rPr>
        <w:t>.</w:t>
      </w:r>
    </w:p>
    <w:p w14:paraId="709DA937" w14:textId="77777777" w:rsidR="0051116F" w:rsidRPr="00DD2DCA" w:rsidRDefault="00D26DE4" w:rsidP="0051116F">
      <w:r>
        <w:pict w14:anchorId="209FC32F">
          <v:rect id="_x0000_i1026" style="width:0;height:0" o:hralign="center" o:hrstd="t" o:hr="t" fillcolor="#a0a0a0" stroked="f"/>
        </w:pict>
      </w:r>
    </w:p>
    <w:p w14:paraId="6B71917F" w14:textId="28000117" w:rsidR="0051116F" w:rsidRPr="00E73840" w:rsidRDefault="00D62389" w:rsidP="0051116F">
      <w:pPr>
        <w:rPr>
          <w:b/>
          <w:bCs/>
          <w:lang w:val="it-IT"/>
        </w:rPr>
      </w:pPr>
      <w:r w:rsidRPr="00E73840">
        <w:rPr>
          <w:b/>
          <w:bCs/>
          <w:lang w:val="it-IT"/>
        </w:rPr>
        <w:t>Razmatranja za angažovanje zainteresovanih strana u vezi sa veštačkom inteligencijom</w:t>
      </w:r>
    </w:p>
    <w:p w14:paraId="7EE7B257" w14:textId="0A8C9878" w:rsidR="0051116F" w:rsidRPr="00E73840" w:rsidRDefault="00D62389" w:rsidP="0051116F">
      <w:pPr>
        <w:jc w:val="both"/>
        <w:rPr>
          <w:lang w:val="it-IT"/>
        </w:rPr>
      </w:pPr>
      <w:r w:rsidRPr="00E73840">
        <w:rPr>
          <w:lang w:val="it-IT"/>
        </w:rPr>
        <w:t>S obzirom na komponentu projekta koja se odnosi na veštačku inteligenciju, primenjuju se sledeće dodatne mere angažovanja</w:t>
      </w:r>
      <w:r w:rsidR="0051116F" w:rsidRPr="00E73840">
        <w:rPr>
          <w:lang w:val="it-IT"/>
        </w:rPr>
        <w:t>:</w:t>
      </w:r>
    </w:p>
    <w:p w14:paraId="19B1A187" w14:textId="375E76E7" w:rsidR="0051116F" w:rsidRPr="00E73840" w:rsidRDefault="00D62389" w:rsidP="0051116F">
      <w:pPr>
        <w:jc w:val="both"/>
        <w:rPr>
          <w:lang w:val="it-IT"/>
        </w:rPr>
      </w:pPr>
      <w:r w:rsidRPr="00E73840">
        <w:rPr>
          <w:b/>
          <w:lang w:val="it-IT"/>
        </w:rPr>
        <w:lastRenderedPageBreak/>
        <w:t>Transparentnost u vezi sa upotrebom AI</w:t>
      </w:r>
      <w:r w:rsidRPr="00E73840">
        <w:rPr>
          <w:lang w:val="it-IT"/>
        </w:rPr>
        <w:t>: Građani koji koriste usluge zasnovane na veštačkoj inteligenciji biće obavešteni kada je uključeno automatizovano donošenje odluka i na koji način to utiče na njih. Ove informacije biće pružene na jednostavnom i pristupačnom jeziku.</w:t>
      </w:r>
    </w:p>
    <w:p w14:paraId="4E8E7D80" w14:textId="0B6C46C6" w:rsidR="0051116F" w:rsidRPr="00E73840" w:rsidRDefault="00D62389" w:rsidP="0051116F">
      <w:pPr>
        <w:jc w:val="both"/>
        <w:rPr>
          <w:lang w:val="it-IT"/>
        </w:rPr>
      </w:pPr>
      <w:r w:rsidRPr="00E73840">
        <w:rPr>
          <w:b/>
          <w:lang w:val="it-IT"/>
        </w:rPr>
        <w:t>Konsultacije u vezi sa etikom veštačke inteligencije</w:t>
      </w:r>
      <w:r w:rsidRPr="00E73840">
        <w:rPr>
          <w:lang w:val="it-IT"/>
        </w:rPr>
        <w:t>: Institucija nadležna za sprovođenje projekta sprovodiće konsultacije sa nacionalnim organom za zaštitu podataka o ličnosti, organizacijama civilnog društva i akademskim institucijama o etičkom dizajnu, primeni i nadzoru AI sistema, uključujući mere za sprečavanje diskriminacije i zaštitu ličnih podataka</w:t>
      </w:r>
      <w:r w:rsidR="0051116F" w:rsidRPr="00E73840">
        <w:rPr>
          <w:lang w:val="it-IT"/>
        </w:rPr>
        <w:t>.</w:t>
      </w:r>
    </w:p>
    <w:p w14:paraId="4B717FF3" w14:textId="5299528F" w:rsidR="0051116F" w:rsidRPr="00E73840" w:rsidRDefault="00E80435" w:rsidP="0051116F">
      <w:pPr>
        <w:jc w:val="both"/>
        <w:rPr>
          <w:lang w:val="it-IT"/>
        </w:rPr>
      </w:pPr>
      <w:r w:rsidRPr="00E73840">
        <w:rPr>
          <w:b/>
          <w:lang w:val="it-IT"/>
        </w:rPr>
        <w:t>Povratne informacije o performansama AI</w:t>
      </w:r>
      <w:r w:rsidRPr="00E73840">
        <w:rPr>
          <w:lang w:val="it-IT"/>
        </w:rPr>
        <w:t>: Krajnjim korisnicima biće obezbeđeni pristupačni kanali za prijavu grešaka, pristrasnosti ili nepravičnih ishoda u uslugama zasnovanim na veštačkoj inteligenciji, a ove prijave biće evidentirane i praćene kroz mehanizam za upravljanje pritužbama (GM)</w:t>
      </w:r>
      <w:r w:rsidR="0051116F" w:rsidRPr="00E73840">
        <w:rPr>
          <w:lang w:val="it-IT"/>
        </w:rPr>
        <w:t>.</w:t>
      </w:r>
    </w:p>
    <w:p w14:paraId="5C466F0F" w14:textId="05989E44" w:rsidR="0051116F" w:rsidRPr="00E73840" w:rsidRDefault="00D37CC6" w:rsidP="0051116F">
      <w:pPr>
        <w:jc w:val="both"/>
        <w:rPr>
          <w:lang w:val="it-IT"/>
        </w:rPr>
      </w:pPr>
      <w:r w:rsidRPr="00E73840">
        <w:rPr>
          <w:b/>
          <w:lang w:val="it-IT"/>
        </w:rPr>
        <w:t>Usklađenost sa zahtevima zaštite podataka</w:t>
      </w:r>
      <w:r w:rsidRPr="00E73840">
        <w:rPr>
          <w:lang w:val="it-IT"/>
        </w:rPr>
        <w:t>: Projekat će obezbediti usklađenost sa važećim nacionalnim zakonodavstvom o zaštiti podataka o ličnosti, kao i, gde je relevantno, sa međunarodnim standardima u vezi sa odgovornom upotrebom ličnih podataka u AI sistemima</w:t>
      </w:r>
      <w:r w:rsidR="0051116F" w:rsidRPr="00E73840">
        <w:rPr>
          <w:lang w:val="it-IT"/>
        </w:rPr>
        <w:t>.</w:t>
      </w:r>
    </w:p>
    <w:p w14:paraId="151F6DDD" w14:textId="77777777" w:rsidR="0051116F" w:rsidRPr="00E73840" w:rsidRDefault="0051116F" w:rsidP="0051116F">
      <w:pPr>
        <w:rPr>
          <w:lang w:val="it-IT"/>
        </w:rPr>
      </w:pPr>
    </w:p>
    <w:p w14:paraId="2E00F8A0" w14:textId="77777777" w:rsidR="004962FD" w:rsidRPr="00E73840" w:rsidRDefault="004962FD" w:rsidP="004962FD">
      <w:pPr>
        <w:rPr>
          <w:lang w:val="it-IT"/>
        </w:rPr>
      </w:pPr>
    </w:p>
    <w:p w14:paraId="1FA31BBB" w14:textId="0F134866" w:rsidR="007E15DB" w:rsidRPr="00E73840" w:rsidRDefault="00C05838" w:rsidP="008847FD">
      <w:pPr>
        <w:pStyle w:val="Heading2"/>
        <w:numPr>
          <w:ilvl w:val="1"/>
          <w:numId w:val="19"/>
        </w:numPr>
        <w:spacing w:before="60" w:after="120"/>
        <w:ind w:left="720" w:right="576"/>
        <w:jc w:val="both"/>
        <w:rPr>
          <w:rFonts w:cstheme="majorHAnsi"/>
          <w:color w:val="auto"/>
          <w:sz w:val="22"/>
          <w:szCs w:val="22"/>
          <w:lang w:val="it-IT"/>
        </w:rPr>
      </w:pPr>
      <w:r w:rsidRPr="00E73840">
        <w:rPr>
          <w:rFonts w:eastAsia="Arial" w:cstheme="majorHAnsi"/>
          <w:color w:val="auto"/>
          <w:sz w:val="22"/>
          <w:szCs w:val="22"/>
          <w:lang w:val="it-IT"/>
        </w:rPr>
        <w:t>Aktivnosti angažovanja zainteresovanih strana po komponentama projekta</w:t>
      </w:r>
    </w:p>
    <w:tbl>
      <w:tblPr>
        <w:tblStyle w:val="TableGrid"/>
        <w:tblW w:w="5000" w:type="pct"/>
        <w:jc w:val="center"/>
        <w:tblLook w:val="04A0" w:firstRow="1" w:lastRow="0" w:firstColumn="1" w:lastColumn="0" w:noHBand="0" w:noVBand="1"/>
      </w:tblPr>
      <w:tblGrid>
        <w:gridCol w:w="1687"/>
        <w:gridCol w:w="973"/>
        <w:gridCol w:w="1576"/>
        <w:gridCol w:w="1482"/>
        <w:gridCol w:w="1625"/>
        <w:gridCol w:w="1687"/>
        <w:gridCol w:w="1616"/>
      </w:tblGrid>
      <w:tr w:rsidR="00BA2861" w:rsidRPr="00386B69" w14:paraId="15280934" w14:textId="77777777" w:rsidTr="00C05838">
        <w:trPr>
          <w:cantSplit/>
          <w:tblHeader/>
          <w:jc w:val="center"/>
        </w:trPr>
        <w:tc>
          <w:tcPr>
            <w:tcW w:w="1687" w:type="dxa"/>
            <w:shd w:val="clear" w:color="auto" w:fill="D9EAF7"/>
            <w:tcMar>
              <w:top w:w="60" w:type="dxa"/>
              <w:left w:w="60" w:type="dxa"/>
              <w:bottom w:w="60" w:type="dxa"/>
              <w:right w:w="60" w:type="dxa"/>
            </w:tcMar>
          </w:tcPr>
          <w:p w14:paraId="4F6BA6C1" w14:textId="258F7B91" w:rsidR="00C05838" w:rsidRPr="00611C08" w:rsidRDefault="00C05838" w:rsidP="00AC0E2C">
            <w:pPr>
              <w:rPr>
                <w:rFonts w:asciiTheme="majorHAnsi" w:hAnsiTheme="majorHAnsi" w:cstheme="majorHAnsi"/>
                <w:szCs w:val="20"/>
              </w:rPr>
            </w:pPr>
            <w:r>
              <w:rPr>
                <w:rFonts w:asciiTheme="majorHAnsi" w:hAnsiTheme="majorHAnsi" w:cstheme="majorHAnsi"/>
                <w:b/>
                <w:szCs w:val="20"/>
              </w:rPr>
              <w:t>Komponenta/faza projekta</w:t>
            </w:r>
          </w:p>
        </w:tc>
        <w:tc>
          <w:tcPr>
            <w:tcW w:w="973" w:type="dxa"/>
            <w:shd w:val="clear" w:color="auto" w:fill="D9EAF7"/>
          </w:tcPr>
          <w:p w14:paraId="2E9D7F54" w14:textId="77777777" w:rsidR="00C05838" w:rsidRPr="00611C08" w:rsidRDefault="00C05838" w:rsidP="00AC0E2C">
            <w:pPr>
              <w:rPr>
                <w:rFonts w:asciiTheme="majorHAnsi" w:hAnsiTheme="majorHAnsi" w:cstheme="majorHAnsi"/>
                <w:b/>
                <w:szCs w:val="20"/>
              </w:rPr>
            </w:pPr>
          </w:p>
        </w:tc>
        <w:tc>
          <w:tcPr>
            <w:tcW w:w="1576" w:type="dxa"/>
            <w:shd w:val="clear" w:color="auto" w:fill="D9EAF7"/>
            <w:tcMar>
              <w:top w:w="60" w:type="dxa"/>
              <w:left w:w="60" w:type="dxa"/>
              <w:bottom w:w="60" w:type="dxa"/>
              <w:right w:w="60" w:type="dxa"/>
            </w:tcMar>
          </w:tcPr>
          <w:p w14:paraId="6FE92170" w14:textId="31883CDD" w:rsidR="00C05838" w:rsidRPr="00611C08" w:rsidRDefault="00C05838" w:rsidP="00C05838">
            <w:pPr>
              <w:rPr>
                <w:rFonts w:asciiTheme="majorHAnsi" w:hAnsiTheme="majorHAnsi" w:cstheme="majorHAnsi"/>
                <w:szCs w:val="20"/>
              </w:rPr>
            </w:pPr>
            <w:r>
              <w:rPr>
                <w:rFonts w:asciiTheme="majorHAnsi" w:hAnsiTheme="majorHAnsi" w:cstheme="majorHAnsi"/>
                <w:b/>
                <w:szCs w:val="20"/>
              </w:rPr>
              <w:t>Tema</w:t>
            </w:r>
            <w:r w:rsidRPr="00611C08">
              <w:rPr>
                <w:rFonts w:asciiTheme="majorHAnsi" w:hAnsiTheme="majorHAnsi" w:cstheme="majorHAnsi"/>
                <w:b/>
                <w:szCs w:val="20"/>
              </w:rPr>
              <w:t>/</w:t>
            </w:r>
            <w:r>
              <w:rPr>
                <w:rFonts w:asciiTheme="majorHAnsi" w:hAnsiTheme="majorHAnsi" w:cstheme="majorHAnsi"/>
                <w:b/>
                <w:szCs w:val="20"/>
              </w:rPr>
              <w:t>poruka</w:t>
            </w:r>
          </w:p>
        </w:tc>
        <w:tc>
          <w:tcPr>
            <w:tcW w:w="1482" w:type="dxa"/>
            <w:shd w:val="clear" w:color="auto" w:fill="D9EAF7"/>
            <w:tcMar>
              <w:top w:w="60" w:type="dxa"/>
              <w:left w:w="60" w:type="dxa"/>
              <w:bottom w:w="60" w:type="dxa"/>
              <w:right w:w="60" w:type="dxa"/>
            </w:tcMar>
          </w:tcPr>
          <w:p w14:paraId="5DB4B208" w14:textId="7CFC1C39" w:rsidR="00C05838" w:rsidRPr="00611C08" w:rsidRDefault="00C05838" w:rsidP="00AC0E2C">
            <w:pPr>
              <w:rPr>
                <w:rFonts w:asciiTheme="majorHAnsi" w:hAnsiTheme="majorHAnsi" w:cstheme="majorHAnsi"/>
                <w:szCs w:val="20"/>
              </w:rPr>
            </w:pPr>
            <w:r>
              <w:rPr>
                <w:rFonts w:asciiTheme="majorHAnsi" w:hAnsiTheme="majorHAnsi" w:cstheme="majorHAnsi"/>
                <w:b/>
                <w:szCs w:val="20"/>
              </w:rPr>
              <w:t>Ciljne zainteresovane strane</w:t>
            </w:r>
          </w:p>
        </w:tc>
        <w:tc>
          <w:tcPr>
            <w:tcW w:w="1625" w:type="dxa"/>
            <w:shd w:val="clear" w:color="auto" w:fill="D9EAF7"/>
            <w:tcMar>
              <w:top w:w="60" w:type="dxa"/>
              <w:left w:w="60" w:type="dxa"/>
              <w:bottom w:w="60" w:type="dxa"/>
              <w:right w:w="60" w:type="dxa"/>
            </w:tcMar>
          </w:tcPr>
          <w:p w14:paraId="781ECFEB" w14:textId="47B09932" w:rsidR="00C05838" w:rsidRPr="00611C08" w:rsidRDefault="00C05838" w:rsidP="00AC0E2C">
            <w:pPr>
              <w:rPr>
                <w:rFonts w:asciiTheme="majorHAnsi" w:hAnsiTheme="majorHAnsi" w:cstheme="majorHAnsi"/>
                <w:szCs w:val="20"/>
              </w:rPr>
            </w:pPr>
            <w:r>
              <w:rPr>
                <w:rFonts w:asciiTheme="majorHAnsi" w:hAnsiTheme="majorHAnsi" w:cstheme="majorHAnsi"/>
                <w:b/>
                <w:szCs w:val="20"/>
              </w:rPr>
              <w:t>Metod angažovanja</w:t>
            </w:r>
          </w:p>
        </w:tc>
        <w:tc>
          <w:tcPr>
            <w:tcW w:w="1687" w:type="dxa"/>
            <w:shd w:val="clear" w:color="auto" w:fill="D9EAF7"/>
            <w:tcMar>
              <w:top w:w="60" w:type="dxa"/>
              <w:left w:w="60" w:type="dxa"/>
              <w:bottom w:w="60" w:type="dxa"/>
              <w:right w:w="60" w:type="dxa"/>
            </w:tcMar>
          </w:tcPr>
          <w:p w14:paraId="511B639B" w14:textId="7D859192" w:rsidR="00C05838" w:rsidRPr="00611C08" w:rsidRDefault="00C05838" w:rsidP="00C05838">
            <w:pPr>
              <w:rPr>
                <w:rFonts w:asciiTheme="majorHAnsi" w:hAnsiTheme="majorHAnsi" w:cstheme="majorHAnsi"/>
                <w:szCs w:val="20"/>
              </w:rPr>
            </w:pPr>
            <w:r>
              <w:rPr>
                <w:rFonts w:asciiTheme="majorHAnsi" w:hAnsiTheme="majorHAnsi" w:cstheme="majorHAnsi"/>
                <w:b/>
                <w:szCs w:val="20"/>
              </w:rPr>
              <w:t>Vremenski okvir</w:t>
            </w:r>
            <w:r w:rsidRPr="00611C08">
              <w:rPr>
                <w:rFonts w:asciiTheme="majorHAnsi" w:hAnsiTheme="majorHAnsi" w:cstheme="majorHAnsi"/>
                <w:b/>
                <w:szCs w:val="20"/>
              </w:rPr>
              <w:t>/</w:t>
            </w:r>
            <w:r>
              <w:rPr>
                <w:rFonts w:asciiTheme="majorHAnsi" w:hAnsiTheme="majorHAnsi" w:cstheme="majorHAnsi"/>
                <w:b/>
                <w:szCs w:val="20"/>
              </w:rPr>
              <w:t>trajanje</w:t>
            </w:r>
          </w:p>
        </w:tc>
        <w:tc>
          <w:tcPr>
            <w:tcW w:w="1616" w:type="dxa"/>
            <w:shd w:val="clear" w:color="auto" w:fill="D9EAF7"/>
            <w:tcMar>
              <w:top w:w="60" w:type="dxa"/>
              <w:left w:w="60" w:type="dxa"/>
              <w:bottom w:w="60" w:type="dxa"/>
              <w:right w:w="60" w:type="dxa"/>
            </w:tcMar>
          </w:tcPr>
          <w:p w14:paraId="22C90741" w14:textId="3A30ACCC" w:rsidR="00C05838" w:rsidRPr="00611C08" w:rsidRDefault="00C05838" w:rsidP="00C05838">
            <w:pPr>
              <w:rPr>
                <w:rFonts w:asciiTheme="majorHAnsi" w:hAnsiTheme="majorHAnsi" w:cstheme="majorHAnsi"/>
                <w:szCs w:val="20"/>
              </w:rPr>
            </w:pPr>
            <w:r>
              <w:rPr>
                <w:rFonts w:asciiTheme="majorHAnsi" w:hAnsiTheme="majorHAnsi" w:cstheme="majorHAnsi"/>
                <w:b/>
                <w:szCs w:val="20"/>
              </w:rPr>
              <w:t>Odgovorna institucija</w:t>
            </w:r>
          </w:p>
        </w:tc>
      </w:tr>
      <w:tr w:rsidR="00BA2861" w:rsidRPr="00386B69" w14:paraId="773A29D5" w14:textId="77777777" w:rsidTr="00C05838">
        <w:trPr>
          <w:cantSplit/>
          <w:jc w:val="center"/>
        </w:trPr>
        <w:tc>
          <w:tcPr>
            <w:tcW w:w="1687" w:type="dxa"/>
            <w:tcMar>
              <w:top w:w="60" w:type="dxa"/>
              <w:left w:w="60" w:type="dxa"/>
              <w:bottom w:w="60" w:type="dxa"/>
              <w:right w:w="60" w:type="dxa"/>
            </w:tcMar>
          </w:tcPr>
          <w:p w14:paraId="3BF5D965" w14:textId="1C12E39F" w:rsidR="00C05838" w:rsidRPr="00611C08" w:rsidRDefault="00A37B36" w:rsidP="00AC0E2C">
            <w:pPr>
              <w:rPr>
                <w:rFonts w:asciiTheme="majorHAnsi" w:hAnsiTheme="majorHAnsi" w:cstheme="majorHAnsi"/>
                <w:szCs w:val="20"/>
              </w:rPr>
            </w:pPr>
            <w:r w:rsidRPr="00A37B36">
              <w:rPr>
                <w:rFonts w:asciiTheme="majorHAnsi" w:hAnsiTheme="majorHAnsi" w:cstheme="majorHAnsi"/>
                <w:szCs w:val="20"/>
              </w:rPr>
              <w:t>Priprema i procena projekta</w:t>
            </w:r>
          </w:p>
        </w:tc>
        <w:tc>
          <w:tcPr>
            <w:tcW w:w="973" w:type="dxa"/>
          </w:tcPr>
          <w:p w14:paraId="599230AE" w14:textId="77777777" w:rsidR="00C05838" w:rsidRPr="00611C08" w:rsidRDefault="00C05838" w:rsidP="00AC0E2C">
            <w:pPr>
              <w:rPr>
                <w:rFonts w:asciiTheme="majorHAnsi" w:hAnsiTheme="majorHAnsi" w:cstheme="majorHAnsi"/>
                <w:szCs w:val="20"/>
              </w:rPr>
            </w:pPr>
          </w:p>
        </w:tc>
        <w:tc>
          <w:tcPr>
            <w:tcW w:w="1576" w:type="dxa"/>
            <w:tcMar>
              <w:top w:w="60" w:type="dxa"/>
              <w:left w:w="60" w:type="dxa"/>
              <w:bottom w:w="60" w:type="dxa"/>
              <w:right w:w="60" w:type="dxa"/>
            </w:tcMar>
          </w:tcPr>
          <w:p w14:paraId="61A1D8CC" w14:textId="4DED73C5" w:rsidR="00C05838" w:rsidRPr="00611C08" w:rsidRDefault="00A37B36" w:rsidP="00AC0E2C">
            <w:pPr>
              <w:rPr>
                <w:rFonts w:asciiTheme="majorHAnsi" w:hAnsiTheme="majorHAnsi" w:cstheme="majorHAnsi"/>
                <w:szCs w:val="20"/>
              </w:rPr>
            </w:pPr>
            <w:r w:rsidRPr="00A37B36">
              <w:rPr>
                <w:rFonts w:asciiTheme="majorHAnsi" w:hAnsiTheme="majorHAnsi" w:cstheme="majorHAnsi"/>
                <w:szCs w:val="20"/>
              </w:rPr>
              <w:t>Ciljevi projekta, komponente, E&amp;S kontekst rizika, SEP/GRM aranžman</w:t>
            </w:r>
            <w:r>
              <w:rPr>
                <w:rFonts w:asciiTheme="majorHAnsi" w:hAnsiTheme="majorHAnsi" w:cstheme="majorHAnsi"/>
                <w:szCs w:val="20"/>
              </w:rPr>
              <w:t>i</w:t>
            </w:r>
          </w:p>
        </w:tc>
        <w:tc>
          <w:tcPr>
            <w:tcW w:w="1482" w:type="dxa"/>
            <w:tcMar>
              <w:top w:w="60" w:type="dxa"/>
              <w:left w:w="60" w:type="dxa"/>
              <w:bottom w:w="60" w:type="dxa"/>
              <w:right w:w="60" w:type="dxa"/>
            </w:tcMar>
          </w:tcPr>
          <w:p w14:paraId="1906F389" w14:textId="600BC2F8" w:rsidR="00C05838" w:rsidRPr="00E73840" w:rsidRDefault="00A37B36" w:rsidP="00AC0E2C">
            <w:pPr>
              <w:rPr>
                <w:rFonts w:asciiTheme="majorHAnsi" w:hAnsiTheme="majorHAnsi" w:cstheme="majorHAnsi"/>
                <w:szCs w:val="20"/>
                <w:lang w:val="it-IT"/>
              </w:rPr>
            </w:pPr>
            <w:r w:rsidRPr="00E73840">
              <w:rPr>
                <w:rFonts w:asciiTheme="majorHAnsi" w:hAnsiTheme="majorHAnsi" w:cstheme="majorHAnsi"/>
                <w:szCs w:val="20"/>
                <w:lang w:val="it-IT"/>
              </w:rPr>
              <w:t>OITEG, PIU, resorna ministarstva, regulatori, CSO, odabrane zainteresovane strane</w:t>
            </w:r>
          </w:p>
        </w:tc>
        <w:tc>
          <w:tcPr>
            <w:tcW w:w="1625" w:type="dxa"/>
            <w:tcMar>
              <w:top w:w="60" w:type="dxa"/>
              <w:left w:w="60" w:type="dxa"/>
              <w:bottom w:w="60" w:type="dxa"/>
              <w:right w:w="60" w:type="dxa"/>
            </w:tcMar>
          </w:tcPr>
          <w:p w14:paraId="3AB9980D" w14:textId="4D76C115" w:rsidR="00C05838" w:rsidRPr="00611C08" w:rsidRDefault="00A37B36" w:rsidP="00AC0E2C">
            <w:pPr>
              <w:rPr>
                <w:rFonts w:asciiTheme="majorHAnsi" w:hAnsiTheme="majorHAnsi" w:cstheme="majorHAnsi"/>
                <w:szCs w:val="20"/>
              </w:rPr>
            </w:pPr>
            <w:r w:rsidRPr="00A37B36">
              <w:rPr>
                <w:rFonts w:asciiTheme="majorHAnsi" w:hAnsiTheme="majorHAnsi" w:cstheme="majorHAnsi"/>
                <w:szCs w:val="20"/>
              </w:rPr>
              <w:t>Sastanci, objavljivanje projektnih informacija, konsultativne sesije</w:t>
            </w:r>
          </w:p>
        </w:tc>
        <w:tc>
          <w:tcPr>
            <w:tcW w:w="1687" w:type="dxa"/>
            <w:tcMar>
              <w:top w:w="60" w:type="dxa"/>
              <w:left w:w="60" w:type="dxa"/>
              <w:bottom w:w="60" w:type="dxa"/>
              <w:right w:w="60" w:type="dxa"/>
            </w:tcMar>
          </w:tcPr>
          <w:p w14:paraId="7D0AF6EC" w14:textId="008C6AE1" w:rsidR="00C05838" w:rsidRPr="00E73840" w:rsidRDefault="00A37B36" w:rsidP="00AC0E2C">
            <w:pPr>
              <w:rPr>
                <w:rFonts w:asciiTheme="majorHAnsi" w:hAnsiTheme="majorHAnsi" w:cstheme="majorHAnsi"/>
                <w:szCs w:val="20"/>
                <w:lang w:val="it-IT"/>
              </w:rPr>
            </w:pPr>
            <w:r w:rsidRPr="00E73840">
              <w:rPr>
                <w:rFonts w:asciiTheme="majorHAnsi" w:hAnsiTheme="majorHAnsi" w:cstheme="majorHAnsi"/>
                <w:szCs w:val="20"/>
                <w:lang w:val="it-IT"/>
              </w:rPr>
              <w:t>Pre procene i po potrebi</w:t>
            </w:r>
          </w:p>
        </w:tc>
        <w:tc>
          <w:tcPr>
            <w:tcW w:w="1616" w:type="dxa"/>
            <w:tcMar>
              <w:top w:w="60" w:type="dxa"/>
              <w:left w:w="60" w:type="dxa"/>
              <w:bottom w:w="60" w:type="dxa"/>
              <w:right w:w="60" w:type="dxa"/>
            </w:tcMar>
          </w:tcPr>
          <w:p w14:paraId="28AFB186" w14:textId="6D35D2D4" w:rsidR="00C05838" w:rsidRPr="00611C08" w:rsidRDefault="00A37B36" w:rsidP="00AC0E2C">
            <w:pPr>
              <w:rPr>
                <w:rFonts w:asciiTheme="majorHAnsi" w:hAnsiTheme="majorHAnsi" w:cstheme="majorHAnsi"/>
                <w:szCs w:val="20"/>
              </w:rPr>
            </w:pPr>
            <w:r w:rsidRPr="00A37B36">
              <w:rPr>
                <w:rFonts w:asciiTheme="majorHAnsi" w:hAnsiTheme="majorHAnsi" w:cstheme="majorHAnsi"/>
                <w:szCs w:val="20"/>
              </w:rPr>
              <w:t>OITEG/PIU uz podršku Svetske banke</w:t>
            </w:r>
          </w:p>
        </w:tc>
      </w:tr>
      <w:tr w:rsidR="00BA2861" w:rsidRPr="00386B69" w14:paraId="07EE3648" w14:textId="77777777" w:rsidTr="00C05838">
        <w:trPr>
          <w:cantSplit/>
          <w:jc w:val="center"/>
        </w:trPr>
        <w:tc>
          <w:tcPr>
            <w:tcW w:w="1687" w:type="dxa"/>
            <w:tcMar>
              <w:top w:w="60" w:type="dxa"/>
              <w:left w:w="60" w:type="dxa"/>
              <w:bottom w:w="60" w:type="dxa"/>
              <w:right w:w="60" w:type="dxa"/>
            </w:tcMar>
          </w:tcPr>
          <w:p w14:paraId="0D63CD83" w14:textId="3BCC14F8" w:rsidR="00C05838" w:rsidRPr="00E73840" w:rsidRDefault="00A37B36" w:rsidP="00AC0E2C">
            <w:pPr>
              <w:rPr>
                <w:rFonts w:asciiTheme="majorHAnsi" w:hAnsiTheme="majorHAnsi" w:cstheme="majorHAnsi"/>
                <w:szCs w:val="20"/>
                <w:lang w:val="it-IT"/>
              </w:rPr>
            </w:pPr>
            <w:r w:rsidRPr="00E73840">
              <w:rPr>
                <w:rFonts w:asciiTheme="majorHAnsi" w:hAnsiTheme="majorHAnsi" w:cstheme="majorHAnsi"/>
                <w:szCs w:val="20"/>
                <w:lang w:val="it-IT"/>
              </w:rPr>
              <w:t>Komponenta 1: Infrastruktura spremna za digitalno doba</w:t>
            </w:r>
          </w:p>
        </w:tc>
        <w:tc>
          <w:tcPr>
            <w:tcW w:w="973" w:type="dxa"/>
          </w:tcPr>
          <w:p w14:paraId="52D77387" w14:textId="77777777" w:rsidR="00C05838" w:rsidRPr="00E73840" w:rsidRDefault="00C05838" w:rsidP="00AC0E2C">
            <w:pPr>
              <w:rPr>
                <w:rFonts w:asciiTheme="majorHAnsi" w:hAnsiTheme="majorHAnsi" w:cstheme="majorHAnsi"/>
                <w:szCs w:val="20"/>
                <w:lang w:val="it-IT"/>
              </w:rPr>
            </w:pPr>
          </w:p>
        </w:tc>
        <w:tc>
          <w:tcPr>
            <w:tcW w:w="1576" w:type="dxa"/>
            <w:tcMar>
              <w:top w:w="60" w:type="dxa"/>
              <w:left w:w="60" w:type="dxa"/>
              <w:bottom w:w="60" w:type="dxa"/>
              <w:right w:w="60" w:type="dxa"/>
            </w:tcMar>
          </w:tcPr>
          <w:p w14:paraId="48CFDB41" w14:textId="08DD8DB5" w:rsidR="00C05838" w:rsidRPr="00E73840" w:rsidRDefault="00D660A5" w:rsidP="00AC0E2C">
            <w:pPr>
              <w:rPr>
                <w:rFonts w:asciiTheme="majorHAnsi" w:hAnsiTheme="majorHAnsi" w:cstheme="majorHAnsi"/>
                <w:szCs w:val="20"/>
                <w:lang w:val="it-IT"/>
              </w:rPr>
            </w:pPr>
            <w:r w:rsidRPr="00E73840">
              <w:rPr>
                <w:rFonts w:asciiTheme="majorHAnsi" w:hAnsiTheme="majorHAnsi" w:cstheme="majorHAnsi"/>
                <w:szCs w:val="20"/>
                <w:lang w:val="it-IT"/>
              </w:rPr>
              <w:t>Sajber bezbednost, G-Cloud, G-SOC, zaštita podataka, kontinuitet digitalnih usluga</w:t>
            </w:r>
          </w:p>
        </w:tc>
        <w:tc>
          <w:tcPr>
            <w:tcW w:w="1482" w:type="dxa"/>
            <w:tcMar>
              <w:top w:w="60" w:type="dxa"/>
              <w:left w:w="60" w:type="dxa"/>
              <w:bottom w:w="60" w:type="dxa"/>
              <w:right w:w="60" w:type="dxa"/>
            </w:tcMar>
          </w:tcPr>
          <w:p w14:paraId="691B1D16" w14:textId="201B9A79" w:rsidR="00C05838" w:rsidRPr="00611C08" w:rsidRDefault="00D660A5" w:rsidP="00AC0E2C">
            <w:pPr>
              <w:rPr>
                <w:rFonts w:asciiTheme="majorHAnsi" w:hAnsiTheme="majorHAnsi" w:cstheme="majorHAnsi"/>
                <w:szCs w:val="20"/>
              </w:rPr>
            </w:pPr>
            <w:r w:rsidRPr="00D660A5">
              <w:rPr>
                <w:rFonts w:asciiTheme="majorHAnsi" w:hAnsiTheme="majorHAnsi" w:cstheme="majorHAnsi"/>
                <w:szCs w:val="20"/>
              </w:rPr>
              <w:t>OITEG, MIT, RATEL, organi za sajber bezbednost, javne institucije, tehničko osoblje</w:t>
            </w:r>
          </w:p>
        </w:tc>
        <w:tc>
          <w:tcPr>
            <w:tcW w:w="1625" w:type="dxa"/>
            <w:tcMar>
              <w:top w:w="60" w:type="dxa"/>
              <w:left w:w="60" w:type="dxa"/>
              <w:bottom w:w="60" w:type="dxa"/>
              <w:right w:w="60" w:type="dxa"/>
            </w:tcMar>
          </w:tcPr>
          <w:p w14:paraId="5037B1FA" w14:textId="72F1F7E5" w:rsidR="00C05838" w:rsidRPr="00E73840" w:rsidRDefault="00D660A5" w:rsidP="00AC0E2C">
            <w:pPr>
              <w:rPr>
                <w:rFonts w:asciiTheme="majorHAnsi" w:hAnsiTheme="majorHAnsi" w:cstheme="majorHAnsi"/>
                <w:szCs w:val="20"/>
                <w:lang w:val="it-IT"/>
              </w:rPr>
            </w:pPr>
            <w:r w:rsidRPr="00E73840">
              <w:rPr>
                <w:rFonts w:asciiTheme="majorHAnsi" w:hAnsiTheme="majorHAnsi" w:cstheme="majorHAnsi"/>
                <w:szCs w:val="20"/>
                <w:lang w:val="it-IT"/>
              </w:rPr>
              <w:t>Tehnički sastanci, radionice, institucionalna koordinacija</w:t>
            </w:r>
          </w:p>
        </w:tc>
        <w:tc>
          <w:tcPr>
            <w:tcW w:w="1687" w:type="dxa"/>
            <w:tcMar>
              <w:top w:w="60" w:type="dxa"/>
              <w:left w:w="60" w:type="dxa"/>
              <w:bottom w:w="60" w:type="dxa"/>
              <w:right w:w="60" w:type="dxa"/>
            </w:tcMar>
          </w:tcPr>
          <w:p w14:paraId="03B3ADA0" w14:textId="2FA9544C" w:rsidR="00C05838" w:rsidRPr="00611C08" w:rsidRDefault="00D660A5" w:rsidP="00AC0E2C">
            <w:pPr>
              <w:rPr>
                <w:rFonts w:asciiTheme="majorHAnsi" w:hAnsiTheme="majorHAnsi" w:cstheme="majorHAnsi"/>
                <w:szCs w:val="20"/>
              </w:rPr>
            </w:pPr>
            <w:r w:rsidRPr="00D660A5">
              <w:rPr>
                <w:rFonts w:asciiTheme="majorHAnsi" w:hAnsiTheme="majorHAnsi" w:cstheme="majorHAnsi"/>
                <w:szCs w:val="20"/>
              </w:rPr>
              <w:t>Tokom dizajna i implementacije</w:t>
            </w:r>
          </w:p>
        </w:tc>
        <w:tc>
          <w:tcPr>
            <w:tcW w:w="1616" w:type="dxa"/>
            <w:tcMar>
              <w:top w:w="60" w:type="dxa"/>
              <w:left w:w="60" w:type="dxa"/>
              <w:bottom w:w="60" w:type="dxa"/>
              <w:right w:w="60" w:type="dxa"/>
            </w:tcMar>
          </w:tcPr>
          <w:p w14:paraId="1F187286" w14:textId="019F7405" w:rsidR="00C05838" w:rsidRPr="00611C08" w:rsidRDefault="00D660A5" w:rsidP="00AC0E2C">
            <w:pPr>
              <w:rPr>
                <w:rFonts w:asciiTheme="majorHAnsi" w:hAnsiTheme="majorHAnsi" w:cstheme="majorHAnsi"/>
                <w:szCs w:val="20"/>
              </w:rPr>
            </w:pPr>
            <w:r w:rsidRPr="00D660A5">
              <w:rPr>
                <w:rFonts w:asciiTheme="majorHAnsi" w:hAnsiTheme="majorHAnsi" w:cstheme="majorHAnsi"/>
                <w:szCs w:val="20"/>
              </w:rPr>
              <w:t>OITEG/PIU, tehnički timovi</w:t>
            </w:r>
          </w:p>
        </w:tc>
      </w:tr>
      <w:tr w:rsidR="00BA2861" w:rsidRPr="00802EE5" w14:paraId="2010557D" w14:textId="77777777" w:rsidTr="00C05838">
        <w:trPr>
          <w:cantSplit/>
          <w:jc w:val="center"/>
        </w:trPr>
        <w:tc>
          <w:tcPr>
            <w:tcW w:w="1687" w:type="dxa"/>
            <w:tcMar>
              <w:top w:w="60" w:type="dxa"/>
              <w:left w:w="60" w:type="dxa"/>
              <w:bottom w:w="60" w:type="dxa"/>
              <w:right w:w="60" w:type="dxa"/>
            </w:tcMar>
          </w:tcPr>
          <w:p w14:paraId="58A51317" w14:textId="0EE77E22" w:rsidR="00C05838" w:rsidRPr="00E73840" w:rsidRDefault="00A613EC" w:rsidP="00AC0E2C">
            <w:pPr>
              <w:rPr>
                <w:rFonts w:asciiTheme="majorHAnsi" w:hAnsiTheme="majorHAnsi" w:cstheme="majorHAnsi"/>
                <w:szCs w:val="20"/>
                <w:lang w:val="it-IT"/>
              </w:rPr>
            </w:pPr>
            <w:r w:rsidRPr="00E73840">
              <w:rPr>
                <w:rFonts w:asciiTheme="majorHAnsi" w:hAnsiTheme="majorHAnsi" w:cstheme="majorHAnsi"/>
                <w:szCs w:val="20"/>
                <w:lang w:val="it-IT"/>
              </w:rPr>
              <w:t>Komponenta 2: Upravljanje i infrastruktura Digitalnog novčanika</w:t>
            </w:r>
          </w:p>
        </w:tc>
        <w:tc>
          <w:tcPr>
            <w:tcW w:w="973" w:type="dxa"/>
          </w:tcPr>
          <w:p w14:paraId="4A20DD68" w14:textId="77777777" w:rsidR="00C05838" w:rsidRPr="00E73840" w:rsidRDefault="00C05838" w:rsidP="00AC0E2C">
            <w:pPr>
              <w:rPr>
                <w:rFonts w:asciiTheme="majorHAnsi" w:hAnsiTheme="majorHAnsi" w:cstheme="majorHAnsi"/>
                <w:szCs w:val="20"/>
                <w:lang w:val="it-IT"/>
              </w:rPr>
            </w:pPr>
          </w:p>
        </w:tc>
        <w:tc>
          <w:tcPr>
            <w:tcW w:w="1576" w:type="dxa"/>
            <w:tcMar>
              <w:top w:w="60" w:type="dxa"/>
              <w:left w:w="60" w:type="dxa"/>
              <w:bottom w:w="60" w:type="dxa"/>
              <w:right w:w="60" w:type="dxa"/>
            </w:tcMar>
          </w:tcPr>
          <w:p w14:paraId="4FDA3644" w14:textId="5AF453FF" w:rsidR="00C05838" w:rsidRPr="00E73840" w:rsidRDefault="00685FC6" w:rsidP="00AC0E2C">
            <w:pPr>
              <w:rPr>
                <w:rFonts w:asciiTheme="majorHAnsi" w:hAnsiTheme="majorHAnsi" w:cstheme="majorHAnsi"/>
                <w:szCs w:val="20"/>
                <w:lang w:val="it-IT"/>
              </w:rPr>
            </w:pPr>
            <w:r w:rsidRPr="00E73840">
              <w:rPr>
                <w:rFonts w:asciiTheme="majorHAnsi" w:hAnsiTheme="majorHAnsi" w:cstheme="majorHAnsi"/>
                <w:szCs w:val="20"/>
                <w:lang w:val="it-IT"/>
              </w:rPr>
              <w:t>Benefiti Digitalnog novčanika, uključivanje korisnika, privatnost, korišćenje podataka, prava korisnika, registracija, povezane strane</w:t>
            </w:r>
          </w:p>
        </w:tc>
        <w:tc>
          <w:tcPr>
            <w:tcW w:w="1482" w:type="dxa"/>
            <w:tcMar>
              <w:top w:w="60" w:type="dxa"/>
              <w:left w:w="60" w:type="dxa"/>
              <w:bottom w:w="60" w:type="dxa"/>
              <w:right w:w="60" w:type="dxa"/>
            </w:tcMar>
          </w:tcPr>
          <w:p w14:paraId="0160B18A" w14:textId="01AD9E17" w:rsidR="00C05838" w:rsidRPr="00E73840" w:rsidRDefault="00685FC6" w:rsidP="00AC0E2C">
            <w:pPr>
              <w:rPr>
                <w:rFonts w:asciiTheme="majorHAnsi" w:hAnsiTheme="majorHAnsi" w:cstheme="majorHAnsi"/>
                <w:szCs w:val="20"/>
                <w:lang w:val="it-IT"/>
              </w:rPr>
            </w:pPr>
            <w:r w:rsidRPr="00E73840">
              <w:rPr>
                <w:rFonts w:asciiTheme="majorHAnsi" w:hAnsiTheme="majorHAnsi" w:cstheme="majorHAnsi"/>
                <w:szCs w:val="20"/>
                <w:lang w:val="it-IT"/>
              </w:rPr>
              <w:t>Građani, stanovnici, korisnici Digitalnog novčanika, MUP, RFZO, privatni sektor (povezane strane), CSO</w:t>
            </w:r>
          </w:p>
        </w:tc>
        <w:tc>
          <w:tcPr>
            <w:tcW w:w="1625" w:type="dxa"/>
            <w:tcMar>
              <w:top w:w="60" w:type="dxa"/>
              <w:left w:w="60" w:type="dxa"/>
              <w:bottom w:w="60" w:type="dxa"/>
              <w:right w:w="60" w:type="dxa"/>
            </w:tcMar>
          </w:tcPr>
          <w:p w14:paraId="75879EA5" w14:textId="5D6FF7EF" w:rsidR="00C05838" w:rsidRPr="00E73840" w:rsidRDefault="00685FC6" w:rsidP="00AC0E2C">
            <w:pPr>
              <w:rPr>
                <w:rFonts w:asciiTheme="majorHAnsi" w:hAnsiTheme="majorHAnsi" w:cstheme="majorHAnsi"/>
                <w:szCs w:val="20"/>
                <w:lang w:val="it-IT"/>
              </w:rPr>
            </w:pPr>
            <w:r w:rsidRPr="00E73840">
              <w:rPr>
                <w:rFonts w:asciiTheme="majorHAnsi" w:hAnsiTheme="majorHAnsi" w:cstheme="majorHAnsi"/>
                <w:szCs w:val="20"/>
                <w:lang w:val="it-IT"/>
              </w:rPr>
              <w:t>Kampanje podizanja svesti, konsultacije sa korisnicima, radionice, FAQ, obrasci za povratne informacije</w:t>
            </w:r>
          </w:p>
        </w:tc>
        <w:tc>
          <w:tcPr>
            <w:tcW w:w="1687" w:type="dxa"/>
            <w:tcMar>
              <w:top w:w="60" w:type="dxa"/>
              <w:left w:w="60" w:type="dxa"/>
              <w:bottom w:w="60" w:type="dxa"/>
              <w:right w:w="60" w:type="dxa"/>
            </w:tcMar>
          </w:tcPr>
          <w:p w14:paraId="6EDE23E4" w14:textId="1F234562" w:rsidR="00C05838" w:rsidRPr="00E73840" w:rsidRDefault="00685FC6" w:rsidP="00AC0E2C">
            <w:pPr>
              <w:rPr>
                <w:rFonts w:asciiTheme="majorHAnsi" w:hAnsiTheme="majorHAnsi" w:cstheme="majorHAnsi"/>
                <w:szCs w:val="20"/>
                <w:lang w:val="it-IT"/>
              </w:rPr>
            </w:pPr>
            <w:r w:rsidRPr="00E73840">
              <w:rPr>
                <w:rFonts w:asciiTheme="majorHAnsi" w:hAnsiTheme="majorHAnsi" w:cstheme="majorHAnsi"/>
                <w:szCs w:val="20"/>
                <w:lang w:val="it-IT"/>
              </w:rPr>
              <w:t>Pre i tokom uvođenja; kontinuirana ažuriranja</w:t>
            </w:r>
          </w:p>
        </w:tc>
        <w:tc>
          <w:tcPr>
            <w:tcW w:w="1616" w:type="dxa"/>
            <w:tcMar>
              <w:top w:w="60" w:type="dxa"/>
              <w:left w:w="60" w:type="dxa"/>
              <w:bottom w:w="60" w:type="dxa"/>
              <w:right w:w="60" w:type="dxa"/>
            </w:tcMar>
          </w:tcPr>
          <w:p w14:paraId="5B13C242" w14:textId="4DC6BCA8" w:rsidR="00C05838" w:rsidRPr="00E73840" w:rsidRDefault="00685FC6" w:rsidP="00AC0E2C">
            <w:pPr>
              <w:rPr>
                <w:rFonts w:asciiTheme="majorHAnsi" w:hAnsiTheme="majorHAnsi" w:cstheme="majorHAnsi"/>
                <w:szCs w:val="20"/>
                <w:lang w:val="it-IT"/>
              </w:rPr>
            </w:pPr>
            <w:r w:rsidRPr="00E73840">
              <w:rPr>
                <w:rFonts w:asciiTheme="majorHAnsi" w:hAnsiTheme="majorHAnsi" w:cstheme="majorHAnsi"/>
                <w:szCs w:val="20"/>
                <w:lang w:val="it-IT"/>
              </w:rPr>
              <w:t>OITEG/PIU, MUP, RFZO, komunikacioni tim</w:t>
            </w:r>
          </w:p>
        </w:tc>
      </w:tr>
      <w:tr w:rsidR="00BA2861" w:rsidRPr="00386B69" w14:paraId="7A3DBE2C" w14:textId="77777777" w:rsidTr="00C05838">
        <w:trPr>
          <w:cantSplit/>
          <w:jc w:val="center"/>
        </w:trPr>
        <w:tc>
          <w:tcPr>
            <w:tcW w:w="1687" w:type="dxa"/>
            <w:tcMar>
              <w:top w:w="60" w:type="dxa"/>
              <w:left w:w="60" w:type="dxa"/>
              <w:bottom w:w="60" w:type="dxa"/>
              <w:right w:w="60" w:type="dxa"/>
            </w:tcMar>
          </w:tcPr>
          <w:p w14:paraId="2DAC6B63" w14:textId="62C8CED3" w:rsidR="00C05838" w:rsidRPr="00E73840" w:rsidRDefault="00455784" w:rsidP="00AC0E2C">
            <w:pPr>
              <w:rPr>
                <w:rFonts w:asciiTheme="majorHAnsi" w:hAnsiTheme="majorHAnsi" w:cstheme="majorHAnsi"/>
                <w:szCs w:val="20"/>
                <w:lang w:val="it-IT"/>
              </w:rPr>
            </w:pPr>
            <w:r w:rsidRPr="00E73840">
              <w:rPr>
                <w:rFonts w:asciiTheme="majorHAnsi" w:hAnsiTheme="majorHAnsi" w:cstheme="majorHAnsi"/>
                <w:szCs w:val="20"/>
                <w:lang w:val="it-IT"/>
              </w:rPr>
              <w:lastRenderedPageBreak/>
              <w:t>Komponenta 2: Slučajevi upotrebe Digitalnog novčanika</w:t>
            </w:r>
          </w:p>
        </w:tc>
        <w:tc>
          <w:tcPr>
            <w:tcW w:w="973" w:type="dxa"/>
          </w:tcPr>
          <w:p w14:paraId="087BEB55" w14:textId="77777777" w:rsidR="00C05838" w:rsidRPr="00E73840" w:rsidRDefault="00C05838" w:rsidP="00AC0E2C">
            <w:pPr>
              <w:rPr>
                <w:rFonts w:asciiTheme="majorHAnsi" w:hAnsiTheme="majorHAnsi" w:cstheme="majorHAnsi"/>
                <w:szCs w:val="20"/>
                <w:lang w:val="it-IT"/>
              </w:rPr>
            </w:pPr>
          </w:p>
        </w:tc>
        <w:tc>
          <w:tcPr>
            <w:tcW w:w="1576" w:type="dxa"/>
            <w:tcMar>
              <w:top w:w="60" w:type="dxa"/>
              <w:left w:w="60" w:type="dxa"/>
              <w:bottom w:w="60" w:type="dxa"/>
              <w:right w:w="60" w:type="dxa"/>
            </w:tcMar>
          </w:tcPr>
          <w:p w14:paraId="4AA079AC" w14:textId="6ED4AA1E" w:rsidR="00C05838" w:rsidRPr="00E73840" w:rsidRDefault="00455784" w:rsidP="00AC0E2C">
            <w:pPr>
              <w:rPr>
                <w:rFonts w:asciiTheme="majorHAnsi" w:hAnsiTheme="majorHAnsi" w:cstheme="majorHAnsi"/>
                <w:szCs w:val="20"/>
                <w:lang w:val="it-IT"/>
              </w:rPr>
            </w:pPr>
            <w:r w:rsidRPr="00E73840">
              <w:rPr>
                <w:rFonts w:asciiTheme="majorHAnsi" w:hAnsiTheme="majorHAnsi" w:cstheme="majorHAnsi"/>
                <w:szCs w:val="20"/>
                <w:lang w:val="it-IT"/>
              </w:rPr>
              <w:t>Mobilna vozačka dozvola, registracija stranaca, zakazivanje zdravstvenih pregleda</w:t>
            </w:r>
          </w:p>
        </w:tc>
        <w:tc>
          <w:tcPr>
            <w:tcW w:w="1482" w:type="dxa"/>
            <w:tcMar>
              <w:top w:w="60" w:type="dxa"/>
              <w:left w:w="60" w:type="dxa"/>
              <w:bottom w:w="60" w:type="dxa"/>
              <w:right w:w="60" w:type="dxa"/>
            </w:tcMar>
          </w:tcPr>
          <w:p w14:paraId="0968AAFB" w14:textId="41E3807F" w:rsidR="00C05838" w:rsidRPr="00E73840" w:rsidRDefault="00455784" w:rsidP="00AC0E2C">
            <w:pPr>
              <w:rPr>
                <w:rFonts w:asciiTheme="majorHAnsi" w:hAnsiTheme="majorHAnsi" w:cstheme="majorHAnsi"/>
                <w:szCs w:val="20"/>
                <w:lang w:val="it-IT"/>
              </w:rPr>
            </w:pPr>
            <w:r w:rsidRPr="00E73840">
              <w:rPr>
                <w:rFonts w:asciiTheme="majorHAnsi" w:hAnsiTheme="majorHAnsi" w:cstheme="majorHAnsi"/>
                <w:szCs w:val="20"/>
                <w:lang w:val="it-IT"/>
              </w:rPr>
              <w:t>Vozači, strani državljani, pacijenti, zaposleni u MUP-u, RFZO osoblje, korisnici usluga</w:t>
            </w:r>
          </w:p>
        </w:tc>
        <w:tc>
          <w:tcPr>
            <w:tcW w:w="1625" w:type="dxa"/>
            <w:tcMar>
              <w:top w:w="60" w:type="dxa"/>
              <w:left w:w="60" w:type="dxa"/>
              <w:bottom w:w="60" w:type="dxa"/>
              <w:right w:w="60" w:type="dxa"/>
            </w:tcMar>
          </w:tcPr>
          <w:p w14:paraId="0F741D74" w14:textId="47BB3A03" w:rsidR="00C05838" w:rsidRPr="00E73840" w:rsidRDefault="00455784" w:rsidP="00AC0E2C">
            <w:pPr>
              <w:rPr>
                <w:rFonts w:asciiTheme="majorHAnsi" w:hAnsiTheme="majorHAnsi" w:cstheme="majorHAnsi"/>
                <w:szCs w:val="20"/>
                <w:lang w:val="it-IT"/>
              </w:rPr>
            </w:pPr>
            <w:r w:rsidRPr="00E73840">
              <w:rPr>
                <w:rFonts w:asciiTheme="majorHAnsi" w:hAnsiTheme="majorHAnsi" w:cstheme="majorHAnsi"/>
                <w:szCs w:val="20"/>
                <w:lang w:val="it-IT"/>
              </w:rPr>
              <w:t>Informacije specifične za usluge, testiranje korisnika, helpdesk/GRM, terenski događaji</w:t>
            </w:r>
          </w:p>
        </w:tc>
        <w:tc>
          <w:tcPr>
            <w:tcW w:w="1687" w:type="dxa"/>
            <w:tcMar>
              <w:top w:w="60" w:type="dxa"/>
              <w:left w:w="60" w:type="dxa"/>
              <w:bottom w:w="60" w:type="dxa"/>
              <w:right w:w="60" w:type="dxa"/>
            </w:tcMar>
          </w:tcPr>
          <w:p w14:paraId="749A9C71" w14:textId="7050A281" w:rsidR="00C05838" w:rsidRPr="00611C08" w:rsidRDefault="00455784" w:rsidP="00AC0E2C">
            <w:pPr>
              <w:rPr>
                <w:rFonts w:asciiTheme="majorHAnsi" w:hAnsiTheme="majorHAnsi" w:cstheme="majorHAnsi"/>
                <w:szCs w:val="20"/>
              </w:rPr>
            </w:pPr>
            <w:r w:rsidRPr="00455784">
              <w:rPr>
                <w:rFonts w:asciiTheme="majorHAnsi" w:hAnsiTheme="majorHAnsi" w:cstheme="majorHAnsi"/>
                <w:szCs w:val="20"/>
              </w:rPr>
              <w:t>Pre pilot faza i tokom implementacije</w:t>
            </w:r>
          </w:p>
        </w:tc>
        <w:tc>
          <w:tcPr>
            <w:tcW w:w="1616" w:type="dxa"/>
            <w:tcMar>
              <w:top w:w="60" w:type="dxa"/>
              <w:left w:w="60" w:type="dxa"/>
              <w:bottom w:w="60" w:type="dxa"/>
              <w:right w:w="60" w:type="dxa"/>
            </w:tcMar>
          </w:tcPr>
          <w:p w14:paraId="6A7088D2" w14:textId="3B8E0977" w:rsidR="00C05838" w:rsidRPr="00611C08" w:rsidRDefault="00F97984" w:rsidP="00AC0E2C">
            <w:pPr>
              <w:rPr>
                <w:rFonts w:asciiTheme="majorHAnsi" w:hAnsiTheme="majorHAnsi" w:cstheme="majorHAnsi"/>
                <w:szCs w:val="20"/>
              </w:rPr>
            </w:pPr>
            <w:r w:rsidRPr="00F97984">
              <w:rPr>
                <w:rFonts w:asciiTheme="majorHAnsi" w:hAnsiTheme="majorHAnsi" w:cstheme="majorHAnsi"/>
                <w:szCs w:val="20"/>
              </w:rPr>
              <w:t>OITEG/PIU, MUP, RFZO</w:t>
            </w:r>
          </w:p>
        </w:tc>
      </w:tr>
      <w:tr w:rsidR="00BA2861" w:rsidRPr="00386B69" w14:paraId="1C3F1AF7" w14:textId="77777777" w:rsidTr="00C05838">
        <w:trPr>
          <w:cantSplit/>
          <w:jc w:val="center"/>
        </w:trPr>
        <w:tc>
          <w:tcPr>
            <w:tcW w:w="1687" w:type="dxa"/>
            <w:tcMar>
              <w:top w:w="60" w:type="dxa"/>
              <w:left w:w="60" w:type="dxa"/>
              <w:bottom w:w="60" w:type="dxa"/>
              <w:right w:w="60" w:type="dxa"/>
            </w:tcMar>
          </w:tcPr>
          <w:p w14:paraId="2DB58EAE" w14:textId="34751C64" w:rsidR="00C05838" w:rsidRPr="00E73840" w:rsidRDefault="00F97984" w:rsidP="00F97984">
            <w:pPr>
              <w:rPr>
                <w:rFonts w:asciiTheme="majorHAnsi" w:hAnsiTheme="majorHAnsi" w:cstheme="majorHAnsi"/>
                <w:szCs w:val="20"/>
                <w:lang w:val="it-IT"/>
              </w:rPr>
            </w:pPr>
            <w:r w:rsidRPr="00E73840">
              <w:rPr>
                <w:rFonts w:asciiTheme="majorHAnsi" w:hAnsiTheme="majorHAnsi" w:cstheme="majorHAnsi"/>
                <w:szCs w:val="20"/>
                <w:lang w:val="it-IT"/>
              </w:rPr>
              <w:t>Komponenta 2: Nacionalne osnove za AI i podatke</w:t>
            </w:r>
          </w:p>
        </w:tc>
        <w:tc>
          <w:tcPr>
            <w:tcW w:w="973" w:type="dxa"/>
          </w:tcPr>
          <w:p w14:paraId="3477EB18" w14:textId="77777777" w:rsidR="00C05838" w:rsidRPr="00E73840" w:rsidRDefault="00C05838" w:rsidP="00AC0E2C">
            <w:pPr>
              <w:rPr>
                <w:rFonts w:asciiTheme="majorHAnsi" w:hAnsiTheme="majorHAnsi" w:cstheme="majorHAnsi"/>
                <w:szCs w:val="20"/>
                <w:lang w:val="it-IT"/>
              </w:rPr>
            </w:pPr>
          </w:p>
        </w:tc>
        <w:tc>
          <w:tcPr>
            <w:tcW w:w="1576" w:type="dxa"/>
            <w:tcMar>
              <w:top w:w="60" w:type="dxa"/>
              <w:left w:w="60" w:type="dxa"/>
              <w:bottom w:w="60" w:type="dxa"/>
              <w:right w:w="60" w:type="dxa"/>
            </w:tcMar>
          </w:tcPr>
          <w:p w14:paraId="292F63E2" w14:textId="0A43867B" w:rsidR="00C05838" w:rsidRPr="00E73840" w:rsidRDefault="00F97984" w:rsidP="00AC0E2C">
            <w:pPr>
              <w:rPr>
                <w:rFonts w:asciiTheme="majorHAnsi" w:hAnsiTheme="majorHAnsi" w:cstheme="majorHAnsi"/>
                <w:szCs w:val="20"/>
                <w:lang w:val="it-IT"/>
              </w:rPr>
            </w:pPr>
            <w:r w:rsidRPr="00E73840">
              <w:rPr>
                <w:rFonts w:asciiTheme="majorHAnsi" w:hAnsiTheme="majorHAnsi" w:cstheme="majorHAnsi"/>
                <w:szCs w:val="20"/>
                <w:lang w:val="it-IT"/>
              </w:rPr>
              <w:t>Resursi za AI na srpskom jeziku, skupovi podataka, API-ji, benchmark sistemi, odgovorna upotreba</w:t>
            </w:r>
          </w:p>
        </w:tc>
        <w:tc>
          <w:tcPr>
            <w:tcW w:w="1482" w:type="dxa"/>
            <w:tcMar>
              <w:top w:w="60" w:type="dxa"/>
              <w:left w:w="60" w:type="dxa"/>
              <w:bottom w:w="60" w:type="dxa"/>
              <w:right w:w="60" w:type="dxa"/>
            </w:tcMar>
          </w:tcPr>
          <w:p w14:paraId="1A179132" w14:textId="4139B847" w:rsidR="00C05838" w:rsidRPr="00E73840" w:rsidRDefault="00F97984" w:rsidP="00F97984">
            <w:pPr>
              <w:rPr>
                <w:rFonts w:asciiTheme="majorHAnsi" w:hAnsiTheme="majorHAnsi" w:cstheme="majorHAnsi"/>
                <w:szCs w:val="20"/>
                <w:lang w:val="it-IT"/>
              </w:rPr>
            </w:pPr>
            <w:r w:rsidRPr="00E73840">
              <w:rPr>
                <w:rFonts w:asciiTheme="majorHAnsi" w:hAnsiTheme="majorHAnsi" w:cstheme="majorHAnsi"/>
                <w:szCs w:val="20"/>
                <w:lang w:val="it-IT"/>
              </w:rPr>
              <w:t>Akademska zajednica, istraživačke institucije, AI provajderi, privatni sektor, državne institucije</w:t>
            </w:r>
          </w:p>
        </w:tc>
        <w:tc>
          <w:tcPr>
            <w:tcW w:w="1625" w:type="dxa"/>
            <w:tcMar>
              <w:top w:w="60" w:type="dxa"/>
              <w:left w:w="60" w:type="dxa"/>
              <w:bottom w:w="60" w:type="dxa"/>
              <w:right w:w="60" w:type="dxa"/>
            </w:tcMar>
          </w:tcPr>
          <w:p w14:paraId="1529F891" w14:textId="079DB848" w:rsidR="00C05838" w:rsidRPr="00E73840" w:rsidRDefault="00F97984" w:rsidP="00AC0E2C">
            <w:pPr>
              <w:rPr>
                <w:rFonts w:asciiTheme="majorHAnsi" w:hAnsiTheme="majorHAnsi" w:cstheme="majorHAnsi"/>
                <w:szCs w:val="20"/>
                <w:lang w:val="it-IT"/>
              </w:rPr>
            </w:pPr>
            <w:r w:rsidRPr="00E73840">
              <w:rPr>
                <w:rFonts w:asciiTheme="majorHAnsi" w:hAnsiTheme="majorHAnsi" w:cstheme="majorHAnsi"/>
                <w:szCs w:val="20"/>
                <w:lang w:val="it-IT"/>
              </w:rPr>
              <w:t>Tehničke radionice, konsultacije, zajedničke radne grupe</w:t>
            </w:r>
          </w:p>
        </w:tc>
        <w:tc>
          <w:tcPr>
            <w:tcW w:w="1687" w:type="dxa"/>
            <w:tcMar>
              <w:top w:w="60" w:type="dxa"/>
              <w:left w:w="60" w:type="dxa"/>
              <w:bottom w:w="60" w:type="dxa"/>
              <w:right w:w="60" w:type="dxa"/>
            </w:tcMar>
          </w:tcPr>
          <w:p w14:paraId="06319E82" w14:textId="4CBF08C8" w:rsidR="00C05838" w:rsidRPr="00611C08" w:rsidRDefault="00F97984" w:rsidP="00AC0E2C">
            <w:pPr>
              <w:rPr>
                <w:rFonts w:asciiTheme="majorHAnsi" w:hAnsiTheme="majorHAnsi" w:cstheme="majorHAnsi"/>
                <w:szCs w:val="20"/>
              </w:rPr>
            </w:pPr>
            <w:r>
              <w:rPr>
                <w:rFonts w:asciiTheme="majorHAnsi" w:hAnsiTheme="majorHAnsi" w:cstheme="majorHAnsi"/>
                <w:szCs w:val="20"/>
              </w:rPr>
              <w:t>T</w:t>
            </w:r>
            <w:r w:rsidRPr="00F97984">
              <w:rPr>
                <w:rFonts w:asciiTheme="majorHAnsi" w:hAnsiTheme="majorHAnsi" w:cstheme="majorHAnsi"/>
                <w:szCs w:val="20"/>
              </w:rPr>
              <w:t>okom dizajna i implementacije</w:t>
            </w:r>
          </w:p>
        </w:tc>
        <w:tc>
          <w:tcPr>
            <w:tcW w:w="1616" w:type="dxa"/>
            <w:tcMar>
              <w:top w:w="60" w:type="dxa"/>
              <w:left w:w="60" w:type="dxa"/>
              <w:bottom w:w="60" w:type="dxa"/>
              <w:right w:w="60" w:type="dxa"/>
            </w:tcMar>
          </w:tcPr>
          <w:p w14:paraId="389A8DCF" w14:textId="42C2C7B3" w:rsidR="00C05838" w:rsidRPr="00611C08" w:rsidRDefault="00143086" w:rsidP="00AC0E2C">
            <w:pPr>
              <w:rPr>
                <w:rFonts w:asciiTheme="majorHAnsi" w:hAnsiTheme="majorHAnsi" w:cstheme="majorHAnsi"/>
                <w:szCs w:val="20"/>
              </w:rPr>
            </w:pPr>
            <w:r w:rsidRPr="00143086">
              <w:rPr>
                <w:rFonts w:asciiTheme="majorHAnsi" w:hAnsiTheme="majorHAnsi" w:cstheme="majorHAnsi"/>
                <w:szCs w:val="20"/>
              </w:rPr>
              <w:t>OITEG/PIU, tehnički timovi</w:t>
            </w:r>
          </w:p>
        </w:tc>
      </w:tr>
      <w:tr w:rsidR="00BA2861" w:rsidRPr="00386B69" w14:paraId="0E786803" w14:textId="77777777" w:rsidTr="00C05838">
        <w:trPr>
          <w:cantSplit/>
          <w:jc w:val="center"/>
        </w:trPr>
        <w:tc>
          <w:tcPr>
            <w:tcW w:w="1687" w:type="dxa"/>
            <w:tcMar>
              <w:top w:w="60" w:type="dxa"/>
              <w:left w:w="60" w:type="dxa"/>
              <w:bottom w:w="60" w:type="dxa"/>
              <w:right w:w="60" w:type="dxa"/>
            </w:tcMar>
          </w:tcPr>
          <w:p w14:paraId="3BFA2443" w14:textId="229A57B7" w:rsidR="00C05838" w:rsidRPr="00E73840" w:rsidRDefault="00143086" w:rsidP="00AC0E2C">
            <w:pPr>
              <w:rPr>
                <w:rFonts w:asciiTheme="majorHAnsi" w:hAnsiTheme="majorHAnsi" w:cstheme="majorHAnsi"/>
                <w:szCs w:val="20"/>
                <w:lang w:val="it-IT"/>
              </w:rPr>
            </w:pPr>
            <w:r w:rsidRPr="00E73840">
              <w:rPr>
                <w:rFonts w:asciiTheme="majorHAnsi" w:hAnsiTheme="majorHAnsi" w:cstheme="majorHAnsi"/>
                <w:szCs w:val="20"/>
                <w:lang w:val="it-IT"/>
              </w:rPr>
              <w:t>Komponenta 3: AI i digitalne usluge</w:t>
            </w:r>
          </w:p>
        </w:tc>
        <w:tc>
          <w:tcPr>
            <w:tcW w:w="973" w:type="dxa"/>
          </w:tcPr>
          <w:p w14:paraId="6F6C3B1A" w14:textId="77777777" w:rsidR="00C05838" w:rsidRPr="00E73840" w:rsidRDefault="00C05838" w:rsidP="00AC0E2C">
            <w:pPr>
              <w:rPr>
                <w:rFonts w:asciiTheme="majorHAnsi" w:hAnsiTheme="majorHAnsi" w:cstheme="majorHAnsi"/>
                <w:szCs w:val="20"/>
                <w:lang w:val="it-IT"/>
              </w:rPr>
            </w:pPr>
          </w:p>
        </w:tc>
        <w:tc>
          <w:tcPr>
            <w:tcW w:w="1576" w:type="dxa"/>
            <w:tcMar>
              <w:top w:w="60" w:type="dxa"/>
              <w:left w:w="60" w:type="dxa"/>
              <w:bottom w:w="60" w:type="dxa"/>
              <w:right w:w="60" w:type="dxa"/>
            </w:tcMar>
          </w:tcPr>
          <w:p w14:paraId="064DF077" w14:textId="41B9DD67" w:rsidR="00C05838" w:rsidRPr="00E73840" w:rsidRDefault="00143086" w:rsidP="00AC0E2C">
            <w:pPr>
              <w:rPr>
                <w:rFonts w:asciiTheme="majorHAnsi" w:hAnsiTheme="majorHAnsi" w:cstheme="majorHAnsi"/>
                <w:szCs w:val="20"/>
                <w:lang w:val="it-IT"/>
              </w:rPr>
            </w:pPr>
            <w:r w:rsidRPr="00E73840">
              <w:rPr>
                <w:rFonts w:asciiTheme="majorHAnsi" w:hAnsiTheme="majorHAnsi" w:cstheme="majorHAnsi"/>
                <w:szCs w:val="20"/>
                <w:lang w:val="it-IT"/>
              </w:rPr>
              <w:t>Redizajn usluga, automatizacija zasnovana na AI, transparentnost, tačnost, mehanizmi pravne zaštite</w:t>
            </w:r>
          </w:p>
        </w:tc>
        <w:tc>
          <w:tcPr>
            <w:tcW w:w="1482" w:type="dxa"/>
            <w:tcMar>
              <w:top w:w="60" w:type="dxa"/>
              <w:left w:w="60" w:type="dxa"/>
              <w:bottom w:w="60" w:type="dxa"/>
              <w:right w:w="60" w:type="dxa"/>
            </w:tcMar>
          </w:tcPr>
          <w:p w14:paraId="770EBBB3" w14:textId="559C62D7" w:rsidR="00C05838" w:rsidRPr="00E73840" w:rsidRDefault="00143086" w:rsidP="00AC0E2C">
            <w:pPr>
              <w:rPr>
                <w:rFonts w:asciiTheme="majorHAnsi" w:hAnsiTheme="majorHAnsi" w:cstheme="majorHAnsi"/>
                <w:szCs w:val="20"/>
                <w:lang w:val="it-IT"/>
              </w:rPr>
            </w:pPr>
            <w:r w:rsidRPr="00E73840">
              <w:rPr>
                <w:rFonts w:asciiTheme="majorHAnsi" w:hAnsiTheme="majorHAnsi" w:cstheme="majorHAnsi"/>
                <w:szCs w:val="20"/>
                <w:lang w:val="it-IT"/>
              </w:rPr>
              <w:t>Građani, privreda, državni službenici, resorna ministarstva, CSO</w:t>
            </w:r>
          </w:p>
        </w:tc>
        <w:tc>
          <w:tcPr>
            <w:tcW w:w="1625" w:type="dxa"/>
            <w:tcMar>
              <w:top w:w="60" w:type="dxa"/>
              <w:left w:w="60" w:type="dxa"/>
              <w:bottom w:w="60" w:type="dxa"/>
              <w:right w:w="60" w:type="dxa"/>
            </w:tcMar>
          </w:tcPr>
          <w:p w14:paraId="0B43C442" w14:textId="714C52A7" w:rsidR="00C05838" w:rsidRPr="00E73840" w:rsidRDefault="007867AD" w:rsidP="00AC0E2C">
            <w:pPr>
              <w:rPr>
                <w:rFonts w:asciiTheme="majorHAnsi" w:hAnsiTheme="majorHAnsi" w:cstheme="majorHAnsi"/>
                <w:szCs w:val="20"/>
                <w:lang w:val="it-IT"/>
              </w:rPr>
            </w:pPr>
            <w:r w:rsidRPr="00E73840">
              <w:rPr>
                <w:rFonts w:asciiTheme="majorHAnsi" w:hAnsiTheme="majorHAnsi" w:cstheme="majorHAnsi"/>
                <w:szCs w:val="20"/>
                <w:lang w:val="it-IT"/>
              </w:rPr>
              <w:t>Istraživanje korisnika, radionice za dizajn usluga, testiranje upotrebljivosti, ankete o povratnim informacijama</w:t>
            </w:r>
          </w:p>
        </w:tc>
        <w:tc>
          <w:tcPr>
            <w:tcW w:w="1687" w:type="dxa"/>
            <w:tcMar>
              <w:top w:w="60" w:type="dxa"/>
              <w:left w:w="60" w:type="dxa"/>
              <w:bottom w:w="60" w:type="dxa"/>
              <w:right w:w="60" w:type="dxa"/>
            </w:tcMar>
          </w:tcPr>
          <w:p w14:paraId="41CCBFC4" w14:textId="7A08A559" w:rsidR="00C05838" w:rsidRPr="00E73840" w:rsidRDefault="007867AD" w:rsidP="00AC0E2C">
            <w:pPr>
              <w:rPr>
                <w:rFonts w:asciiTheme="majorHAnsi" w:hAnsiTheme="majorHAnsi" w:cstheme="majorHAnsi"/>
                <w:szCs w:val="20"/>
                <w:lang w:val="it-IT"/>
              </w:rPr>
            </w:pPr>
            <w:r w:rsidRPr="00E73840">
              <w:rPr>
                <w:rFonts w:asciiTheme="majorHAnsi" w:hAnsiTheme="majorHAnsi" w:cstheme="majorHAnsi"/>
                <w:szCs w:val="20"/>
                <w:lang w:val="it-IT"/>
              </w:rPr>
              <w:t>Tokom dizajna, testiranja i implementacije</w:t>
            </w:r>
          </w:p>
        </w:tc>
        <w:tc>
          <w:tcPr>
            <w:tcW w:w="1616" w:type="dxa"/>
            <w:tcMar>
              <w:top w:w="60" w:type="dxa"/>
              <w:left w:w="60" w:type="dxa"/>
              <w:bottom w:w="60" w:type="dxa"/>
              <w:right w:w="60" w:type="dxa"/>
            </w:tcMar>
          </w:tcPr>
          <w:p w14:paraId="66E586FC" w14:textId="4004E8F2" w:rsidR="00C05838" w:rsidRPr="00611C08" w:rsidRDefault="00445614" w:rsidP="00AC0E2C">
            <w:pPr>
              <w:rPr>
                <w:rFonts w:asciiTheme="majorHAnsi" w:hAnsiTheme="majorHAnsi" w:cstheme="majorHAnsi"/>
                <w:szCs w:val="20"/>
              </w:rPr>
            </w:pPr>
            <w:r w:rsidRPr="00445614">
              <w:rPr>
                <w:rFonts w:asciiTheme="majorHAnsi" w:hAnsiTheme="majorHAnsi" w:cstheme="majorHAnsi"/>
                <w:szCs w:val="20"/>
              </w:rPr>
              <w:t>OITEG/PIU, resorna ministarstva</w:t>
            </w:r>
          </w:p>
        </w:tc>
      </w:tr>
      <w:tr w:rsidR="00BA2861" w:rsidRPr="00386B69" w14:paraId="36F5F228" w14:textId="77777777" w:rsidTr="00C05838">
        <w:trPr>
          <w:cantSplit/>
          <w:jc w:val="center"/>
        </w:trPr>
        <w:tc>
          <w:tcPr>
            <w:tcW w:w="1687" w:type="dxa"/>
            <w:tcMar>
              <w:top w:w="60" w:type="dxa"/>
              <w:left w:w="60" w:type="dxa"/>
              <w:bottom w:w="60" w:type="dxa"/>
              <w:right w:w="60" w:type="dxa"/>
            </w:tcMar>
          </w:tcPr>
          <w:p w14:paraId="3C3AF53C" w14:textId="38475579" w:rsidR="00C05838" w:rsidRPr="00E73840" w:rsidRDefault="005215A3" w:rsidP="00AC0E2C">
            <w:pPr>
              <w:rPr>
                <w:rFonts w:asciiTheme="majorHAnsi" w:hAnsiTheme="majorHAnsi" w:cstheme="majorHAnsi"/>
                <w:szCs w:val="20"/>
                <w:lang w:val="it-IT"/>
              </w:rPr>
            </w:pPr>
            <w:r w:rsidRPr="00E73840">
              <w:rPr>
                <w:rFonts w:asciiTheme="majorHAnsi" w:hAnsiTheme="majorHAnsi" w:cstheme="majorHAnsi"/>
                <w:szCs w:val="20"/>
                <w:lang w:val="it-IT"/>
              </w:rPr>
              <w:t>Komponenta 3: Institucionalne reforme i izgradnja kapaciteta</w:t>
            </w:r>
          </w:p>
        </w:tc>
        <w:tc>
          <w:tcPr>
            <w:tcW w:w="973" w:type="dxa"/>
          </w:tcPr>
          <w:p w14:paraId="5AF2B480" w14:textId="77777777" w:rsidR="00C05838" w:rsidRPr="00E73840" w:rsidRDefault="00C05838" w:rsidP="00AC0E2C">
            <w:pPr>
              <w:rPr>
                <w:rFonts w:asciiTheme="majorHAnsi" w:hAnsiTheme="majorHAnsi" w:cstheme="majorHAnsi"/>
                <w:szCs w:val="20"/>
                <w:lang w:val="it-IT"/>
              </w:rPr>
            </w:pPr>
          </w:p>
        </w:tc>
        <w:tc>
          <w:tcPr>
            <w:tcW w:w="1576" w:type="dxa"/>
            <w:tcMar>
              <w:top w:w="60" w:type="dxa"/>
              <w:left w:w="60" w:type="dxa"/>
              <w:bottom w:w="60" w:type="dxa"/>
              <w:right w:w="60" w:type="dxa"/>
            </w:tcMar>
          </w:tcPr>
          <w:p w14:paraId="3CDED6D7" w14:textId="0D95FDC1" w:rsidR="00C05838" w:rsidRPr="00E73840" w:rsidRDefault="005215A3" w:rsidP="00AC0E2C">
            <w:pPr>
              <w:rPr>
                <w:rFonts w:asciiTheme="majorHAnsi" w:hAnsiTheme="majorHAnsi" w:cstheme="majorHAnsi"/>
                <w:szCs w:val="20"/>
                <w:lang w:val="it-IT"/>
              </w:rPr>
            </w:pPr>
            <w:r w:rsidRPr="00E73840">
              <w:rPr>
                <w:rFonts w:asciiTheme="majorHAnsi" w:hAnsiTheme="majorHAnsi" w:cstheme="majorHAnsi"/>
                <w:szCs w:val="20"/>
                <w:lang w:val="it-IT"/>
              </w:rPr>
              <w:t>AI, sajber bezbednost, digitalne veštine, obuka o upravljanju podacima</w:t>
            </w:r>
          </w:p>
        </w:tc>
        <w:tc>
          <w:tcPr>
            <w:tcW w:w="1482" w:type="dxa"/>
            <w:tcMar>
              <w:top w:w="60" w:type="dxa"/>
              <w:left w:w="60" w:type="dxa"/>
              <w:bottom w:w="60" w:type="dxa"/>
              <w:right w:w="60" w:type="dxa"/>
            </w:tcMar>
          </w:tcPr>
          <w:p w14:paraId="4BE4B9FD" w14:textId="26B967B5" w:rsidR="00C05838" w:rsidRPr="00E73840" w:rsidRDefault="005215A3" w:rsidP="00AC0E2C">
            <w:pPr>
              <w:rPr>
                <w:rFonts w:asciiTheme="majorHAnsi" w:hAnsiTheme="majorHAnsi" w:cstheme="majorHAnsi"/>
                <w:szCs w:val="20"/>
                <w:lang w:val="it-IT"/>
              </w:rPr>
            </w:pPr>
            <w:r w:rsidRPr="00E73840">
              <w:rPr>
                <w:rFonts w:asciiTheme="majorHAnsi" w:hAnsiTheme="majorHAnsi" w:cstheme="majorHAnsi"/>
                <w:szCs w:val="20"/>
                <w:lang w:val="it-IT"/>
              </w:rPr>
              <w:t>Državni službenici, akademska zajednica, MSP, startapovi, polaznici obuka</w:t>
            </w:r>
          </w:p>
        </w:tc>
        <w:tc>
          <w:tcPr>
            <w:tcW w:w="1625" w:type="dxa"/>
            <w:tcMar>
              <w:top w:w="60" w:type="dxa"/>
              <w:left w:w="60" w:type="dxa"/>
              <w:bottom w:w="60" w:type="dxa"/>
              <w:right w:w="60" w:type="dxa"/>
            </w:tcMar>
          </w:tcPr>
          <w:p w14:paraId="20C00E7B" w14:textId="23CF6069" w:rsidR="00C05838" w:rsidRPr="00611C08" w:rsidRDefault="005215A3" w:rsidP="00AC0E2C">
            <w:pPr>
              <w:rPr>
                <w:rFonts w:asciiTheme="majorHAnsi" w:hAnsiTheme="majorHAnsi" w:cstheme="majorHAnsi"/>
                <w:szCs w:val="20"/>
              </w:rPr>
            </w:pPr>
            <w:r w:rsidRPr="005215A3">
              <w:rPr>
                <w:rFonts w:asciiTheme="majorHAnsi" w:hAnsiTheme="majorHAnsi" w:cstheme="majorHAnsi"/>
                <w:szCs w:val="20"/>
              </w:rPr>
              <w:t>Obuke, radionice, ankete nakon obuka</w:t>
            </w:r>
          </w:p>
        </w:tc>
        <w:tc>
          <w:tcPr>
            <w:tcW w:w="1687" w:type="dxa"/>
            <w:tcMar>
              <w:top w:w="60" w:type="dxa"/>
              <w:left w:w="60" w:type="dxa"/>
              <w:bottom w:w="60" w:type="dxa"/>
              <w:right w:w="60" w:type="dxa"/>
            </w:tcMar>
          </w:tcPr>
          <w:p w14:paraId="02F849EC" w14:textId="046226EE" w:rsidR="00C05838" w:rsidRPr="00611C08" w:rsidRDefault="005215A3" w:rsidP="00AC0E2C">
            <w:pPr>
              <w:rPr>
                <w:rFonts w:asciiTheme="majorHAnsi" w:hAnsiTheme="majorHAnsi" w:cstheme="majorHAnsi"/>
                <w:szCs w:val="20"/>
              </w:rPr>
            </w:pPr>
            <w:r w:rsidRPr="005215A3">
              <w:rPr>
                <w:rFonts w:asciiTheme="majorHAnsi" w:hAnsiTheme="majorHAnsi" w:cstheme="majorHAnsi"/>
                <w:szCs w:val="20"/>
              </w:rPr>
              <w:t>Tokom cele implementacije</w:t>
            </w:r>
          </w:p>
        </w:tc>
        <w:tc>
          <w:tcPr>
            <w:tcW w:w="1616" w:type="dxa"/>
            <w:tcMar>
              <w:top w:w="60" w:type="dxa"/>
              <w:left w:w="60" w:type="dxa"/>
              <w:bottom w:w="60" w:type="dxa"/>
              <w:right w:w="60" w:type="dxa"/>
            </w:tcMar>
          </w:tcPr>
          <w:p w14:paraId="0A388FEB" w14:textId="01DD263B" w:rsidR="00C05838" w:rsidRPr="00611C08" w:rsidRDefault="005215A3" w:rsidP="00AC0E2C">
            <w:pPr>
              <w:rPr>
                <w:rFonts w:asciiTheme="majorHAnsi" w:hAnsiTheme="majorHAnsi" w:cstheme="majorHAnsi"/>
                <w:szCs w:val="20"/>
              </w:rPr>
            </w:pPr>
            <w:r w:rsidRPr="005215A3">
              <w:rPr>
                <w:rFonts w:asciiTheme="majorHAnsi" w:hAnsiTheme="majorHAnsi" w:cstheme="majorHAnsi"/>
                <w:szCs w:val="20"/>
              </w:rPr>
              <w:t>OITEG/PIU, pružaoci obuka</w:t>
            </w:r>
          </w:p>
        </w:tc>
      </w:tr>
      <w:tr w:rsidR="00BA2861" w:rsidRPr="00802EE5" w14:paraId="2E02E3C1" w14:textId="77777777" w:rsidTr="00C05838">
        <w:trPr>
          <w:cantSplit/>
          <w:jc w:val="center"/>
        </w:trPr>
        <w:tc>
          <w:tcPr>
            <w:tcW w:w="1687" w:type="dxa"/>
            <w:tcMar>
              <w:top w:w="60" w:type="dxa"/>
              <w:left w:w="60" w:type="dxa"/>
              <w:bottom w:w="60" w:type="dxa"/>
              <w:right w:w="60" w:type="dxa"/>
            </w:tcMar>
          </w:tcPr>
          <w:p w14:paraId="1457B374" w14:textId="72778345" w:rsidR="00C05838" w:rsidRPr="00611C08" w:rsidRDefault="0072435A" w:rsidP="00AC0E2C">
            <w:pPr>
              <w:rPr>
                <w:rFonts w:asciiTheme="majorHAnsi" w:hAnsiTheme="majorHAnsi" w:cstheme="majorHAnsi"/>
                <w:szCs w:val="20"/>
              </w:rPr>
            </w:pPr>
            <w:r w:rsidRPr="0072435A">
              <w:rPr>
                <w:rFonts w:asciiTheme="majorHAnsi" w:hAnsiTheme="majorHAnsi" w:cstheme="majorHAnsi"/>
                <w:szCs w:val="20"/>
              </w:rPr>
              <w:t>Komponenta 3: GovTech preduzetnički ekosistem</w:t>
            </w:r>
          </w:p>
        </w:tc>
        <w:tc>
          <w:tcPr>
            <w:tcW w:w="973" w:type="dxa"/>
          </w:tcPr>
          <w:p w14:paraId="19B0BF2B" w14:textId="77777777" w:rsidR="00C05838" w:rsidRPr="00611C08" w:rsidRDefault="00C05838" w:rsidP="00AC0E2C">
            <w:pPr>
              <w:rPr>
                <w:rFonts w:asciiTheme="majorHAnsi" w:hAnsiTheme="majorHAnsi" w:cstheme="majorHAnsi"/>
                <w:szCs w:val="20"/>
              </w:rPr>
            </w:pPr>
          </w:p>
        </w:tc>
        <w:tc>
          <w:tcPr>
            <w:tcW w:w="1576" w:type="dxa"/>
            <w:tcMar>
              <w:top w:w="60" w:type="dxa"/>
              <w:left w:w="60" w:type="dxa"/>
              <w:bottom w:w="60" w:type="dxa"/>
              <w:right w:w="60" w:type="dxa"/>
            </w:tcMar>
          </w:tcPr>
          <w:p w14:paraId="038C25E9" w14:textId="509841A4" w:rsidR="00C05838" w:rsidRPr="00611C08" w:rsidRDefault="0072435A" w:rsidP="00AC0E2C">
            <w:pPr>
              <w:rPr>
                <w:rFonts w:asciiTheme="majorHAnsi" w:hAnsiTheme="majorHAnsi" w:cstheme="majorHAnsi"/>
                <w:szCs w:val="20"/>
              </w:rPr>
            </w:pPr>
            <w:r w:rsidRPr="0072435A">
              <w:rPr>
                <w:rFonts w:asciiTheme="majorHAnsi" w:hAnsiTheme="majorHAnsi" w:cstheme="majorHAnsi"/>
                <w:szCs w:val="20"/>
              </w:rPr>
              <w:t>Digitalno tržište javnih nabavki, učešće MSP/startapova, AI i sajber klinike</w:t>
            </w:r>
          </w:p>
        </w:tc>
        <w:tc>
          <w:tcPr>
            <w:tcW w:w="1482" w:type="dxa"/>
            <w:tcMar>
              <w:top w:w="60" w:type="dxa"/>
              <w:left w:w="60" w:type="dxa"/>
              <w:bottom w:w="60" w:type="dxa"/>
              <w:right w:w="60" w:type="dxa"/>
            </w:tcMar>
          </w:tcPr>
          <w:p w14:paraId="32971B09" w14:textId="0F9171CB" w:rsidR="00C05838" w:rsidRPr="00E73840" w:rsidRDefault="0072435A" w:rsidP="00AC0E2C">
            <w:pPr>
              <w:rPr>
                <w:rFonts w:asciiTheme="majorHAnsi" w:hAnsiTheme="majorHAnsi" w:cstheme="majorHAnsi"/>
                <w:szCs w:val="20"/>
                <w:lang w:val="it-IT"/>
              </w:rPr>
            </w:pPr>
            <w:r w:rsidRPr="00E73840">
              <w:rPr>
                <w:rFonts w:asciiTheme="majorHAnsi" w:hAnsiTheme="majorHAnsi" w:cstheme="majorHAnsi"/>
                <w:szCs w:val="20"/>
                <w:lang w:val="it-IT"/>
              </w:rPr>
              <w:t>MSP, startapovi, GovTech provajderi, poslovna udruženja</w:t>
            </w:r>
          </w:p>
        </w:tc>
        <w:tc>
          <w:tcPr>
            <w:tcW w:w="1625" w:type="dxa"/>
            <w:tcMar>
              <w:top w:w="60" w:type="dxa"/>
              <w:left w:w="60" w:type="dxa"/>
              <w:bottom w:w="60" w:type="dxa"/>
              <w:right w:w="60" w:type="dxa"/>
            </w:tcMar>
          </w:tcPr>
          <w:p w14:paraId="69F4F55E" w14:textId="022D9952" w:rsidR="00C05838" w:rsidRPr="00E73840" w:rsidRDefault="0072435A" w:rsidP="00AC0E2C">
            <w:pPr>
              <w:rPr>
                <w:rFonts w:asciiTheme="majorHAnsi" w:hAnsiTheme="majorHAnsi" w:cstheme="majorHAnsi"/>
                <w:szCs w:val="20"/>
                <w:lang w:val="it-IT"/>
              </w:rPr>
            </w:pPr>
            <w:r w:rsidRPr="00E73840">
              <w:rPr>
                <w:rFonts w:asciiTheme="majorHAnsi" w:hAnsiTheme="majorHAnsi" w:cstheme="majorHAnsi"/>
                <w:szCs w:val="20"/>
                <w:lang w:val="it-IT"/>
              </w:rPr>
              <w:t>Angažovanje tržišta, informativne sesije, klinike, ankete</w:t>
            </w:r>
          </w:p>
        </w:tc>
        <w:tc>
          <w:tcPr>
            <w:tcW w:w="1687" w:type="dxa"/>
            <w:tcMar>
              <w:top w:w="60" w:type="dxa"/>
              <w:left w:w="60" w:type="dxa"/>
              <w:bottom w:w="60" w:type="dxa"/>
              <w:right w:w="60" w:type="dxa"/>
            </w:tcMar>
          </w:tcPr>
          <w:p w14:paraId="757613D4" w14:textId="6BD9EFD2" w:rsidR="00C05838" w:rsidRPr="00611C08" w:rsidRDefault="0072435A" w:rsidP="00AC0E2C">
            <w:pPr>
              <w:rPr>
                <w:rFonts w:asciiTheme="majorHAnsi" w:hAnsiTheme="majorHAnsi" w:cstheme="majorHAnsi"/>
                <w:szCs w:val="20"/>
              </w:rPr>
            </w:pPr>
            <w:r w:rsidRPr="0072435A">
              <w:rPr>
                <w:rFonts w:asciiTheme="majorHAnsi" w:hAnsiTheme="majorHAnsi" w:cstheme="majorHAnsi"/>
                <w:szCs w:val="20"/>
              </w:rPr>
              <w:t>Tokom dizajna i implementacije</w:t>
            </w:r>
          </w:p>
        </w:tc>
        <w:tc>
          <w:tcPr>
            <w:tcW w:w="1616" w:type="dxa"/>
            <w:tcMar>
              <w:top w:w="60" w:type="dxa"/>
              <w:left w:w="60" w:type="dxa"/>
              <w:bottom w:w="60" w:type="dxa"/>
              <w:right w:w="60" w:type="dxa"/>
            </w:tcMar>
          </w:tcPr>
          <w:p w14:paraId="4DE38F72" w14:textId="4E8529C0" w:rsidR="00C05838" w:rsidRPr="00E73840" w:rsidRDefault="0072435A" w:rsidP="00AC0E2C">
            <w:pPr>
              <w:rPr>
                <w:rFonts w:asciiTheme="majorHAnsi" w:hAnsiTheme="majorHAnsi" w:cstheme="majorHAnsi"/>
                <w:szCs w:val="20"/>
                <w:lang w:val="it-IT"/>
              </w:rPr>
            </w:pPr>
            <w:r w:rsidRPr="00E73840">
              <w:rPr>
                <w:rFonts w:asciiTheme="majorHAnsi" w:hAnsiTheme="majorHAnsi" w:cstheme="majorHAnsi"/>
                <w:szCs w:val="20"/>
                <w:lang w:val="it-IT"/>
              </w:rPr>
              <w:t>OITEG/PIU, timovi za nabavke i tehnički timovi</w:t>
            </w:r>
          </w:p>
        </w:tc>
      </w:tr>
      <w:tr w:rsidR="00BA2861" w:rsidRPr="00325210" w14:paraId="6AB84E33" w14:textId="77777777" w:rsidTr="00C05838">
        <w:trPr>
          <w:cantSplit/>
          <w:jc w:val="center"/>
        </w:trPr>
        <w:tc>
          <w:tcPr>
            <w:tcW w:w="1687" w:type="dxa"/>
            <w:tcMar>
              <w:top w:w="60" w:type="dxa"/>
              <w:left w:w="60" w:type="dxa"/>
              <w:bottom w:w="60" w:type="dxa"/>
              <w:right w:w="60" w:type="dxa"/>
            </w:tcMar>
          </w:tcPr>
          <w:p w14:paraId="3FE826B3" w14:textId="134881E0" w:rsidR="00C05838" w:rsidRPr="00611C08" w:rsidRDefault="002F4766" w:rsidP="00AC0E2C">
            <w:pPr>
              <w:rPr>
                <w:rFonts w:asciiTheme="majorHAnsi" w:hAnsiTheme="majorHAnsi" w:cstheme="majorHAnsi"/>
                <w:szCs w:val="20"/>
              </w:rPr>
            </w:pPr>
            <w:r w:rsidRPr="002F4766">
              <w:rPr>
                <w:rFonts w:asciiTheme="majorHAnsi" w:hAnsiTheme="majorHAnsi" w:cstheme="majorHAnsi"/>
                <w:szCs w:val="20"/>
              </w:rPr>
              <w:t>Digitalna inkluzija i pristupačnost</w:t>
            </w:r>
          </w:p>
        </w:tc>
        <w:tc>
          <w:tcPr>
            <w:tcW w:w="973" w:type="dxa"/>
          </w:tcPr>
          <w:p w14:paraId="756834ED" w14:textId="77777777" w:rsidR="00C05838" w:rsidRPr="00611C08" w:rsidRDefault="00C05838" w:rsidP="00AC0E2C">
            <w:pPr>
              <w:rPr>
                <w:rFonts w:asciiTheme="majorHAnsi" w:hAnsiTheme="majorHAnsi" w:cstheme="majorHAnsi"/>
                <w:szCs w:val="20"/>
              </w:rPr>
            </w:pPr>
          </w:p>
        </w:tc>
        <w:tc>
          <w:tcPr>
            <w:tcW w:w="1576" w:type="dxa"/>
            <w:tcMar>
              <w:top w:w="60" w:type="dxa"/>
              <w:left w:w="60" w:type="dxa"/>
              <w:bottom w:w="60" w:type="dxa"/>
              <w:right w:w="60" w:type="dxa"/>
            </w:tcMar>
          </w:tcPr>
          <w:p w14:paraId="482174B9" w14:textId="6A9066F4" w:rsidR="00C05838" w:rsidRPr="00E73840" w:rsidRDefault="002F4766" w:rsidP="00AC0E2C">
            <w:pPr>
              <w:rPr>
                <w:rFonts w:asciiTheme="majorHAnsi" w:hAnsiTheme="majorHAnsi" w:cstheme="majorHAnsi"/>
                <w:szCs w:val="20"/>
                <w:lang w:val="it-IT"/>
              </w:rPr>
            </w:pPr>
            <w:r w:rsidRPr="00E73840">
              <w:rPr>
                <w:rFonts w:asciiTheme="majorHAnsi" w:hAnsiTheme="majorHAnsi" w:cstheme="majorHAnsi"/>
                <w:szCs w:val="20"/>
                <w:lang w:val="it-IT"/>
              </w:rPr>
              <w:t>Mere inkluzije, alternativni kanali pristupa, standardi pristupačnosti</w:t>
            </w:r>
          </w:p>
        </w:tc>
        <w:tc>
          <w:tcPr>
            <w:tcW w:w="1482" w:type="dxa"/>
            <w:tcMar>
              <w:top w:w="60" w:type="dxa"/>
              <w:left w:w="60" w:type="dxa"/>
              <w:bottom w:w="60" w:type="dxa"/>
              <w:right w:w="60" w:type="dxa"/>
            </w:tcMar>
          </w:tcPr>
          <w:p w14:paraId="4687B2ED" w14:textId="0C6D2DC2" w:rsidR="00C05838" w:rsidRPr="00E73840" w:rsidRDefault="002F4766" w:rsidP="00AC0E2C">
            <w:pPr>
              <w:rPr>
                <w:rFonts w:asciiTheme="majorHAnsi" w:hAnsiTheme="majorHAnsi" w:cstheme="majorHAnsi"/>
                <w:szCs w:val="20"/>
                <w:lang w:val="it-IT"/>
              </w:rPr>
            </w:pPr>
            <w:r w:rsidRPr="00E73840">
              <w:rPr>
                <w:rFonts w:asciiTheme="majorHAnsi" w:hAnsiTheme="majorHAnsi" w:cstheme="majorHAnsi"/>
                <w:szCs w:val="20"/>
                <w:lang w:val="it-IT"/>
              </w:rPr>
              <w:t>Starije osobe, osobe sa invaliditetom, ruralno stanovništvo, žene, korisnici sa niskim prihodima, osobe sa niskim digitalnim veštinama</w:t>
            </w:r>
          </w:p>
        </w:tc>
        <w:tc>
          <w:tcPr>
            <w:tcW w:w="1625" w:type="dxa"/>
            <w:tcMar>
              <w:top w:w="60" w:type="dxa"/>
              <w:left w:w="60" w:type="dxa"/>
              <w:bottom w:w="60" w:type="dxa"/>
              <w:right w:w="60" w:type="dxa"/>
            </w:tcMar>
          </w:tcPr>
          <w:p w14:paraId="5EE80024" w14:textId="15BBDA9B" w:rsidR="00C05838" w:rsidRPr="00E73840" w:rsidRDefault="002F4766" w:rsidP="00AC0E2C">
            <w:pPr>
              <w:rPr>
                <w:rFonts w:asciiTheme="majorHAnsi" w:hAnsiTheme="majorHAnsi" w:cstheme="majorHAnsi"/>
                <w:szCs w:val="20"/>
                <w:lang w:val="it-IT"/>
              </w:rPr>
            </w:pPr>
            <w:r w:rsidRPr="00E73840">
              <w:rPr>
                <w:rFonts w:asciiTheme="majorHAnsi" w:hAnsiTheme="majorHAnsi" w:cstheme="majorHAnsi"/>
                <w:szCs w:val="20"/>
                <w:lang w:val="it-IT"/>
              </w:rPr>
              <w:t>Ciljane konsultacije, angažovanje CSO, pristupačni materijali, asistirani kanali za povratne informacije</w:t>
            </w:r>
          </w:p>
        </w:tc>
        <w:tc>
          <w:tcPr>
            <w:tcW w:w="1687" w:type="dxa"/>
            <w:tcMar>
              <w:top w:w="60" w:type="dxa"/>
              <w:left w:w="60" w:type="dxa"/>
              <w:bottom w:w="60" w:type="dxa"/>
              <w:right w:w="60" w:type="dxa"/>
            </w:tcMar>
          </w:tcPr>
          <w:p w14:paraId="055A6150" w14:textId="5F9C849B" w:rsidR="00C05838" w:rsidRPr="00611C08" w:rsidRDefault="002F4766" w:rsidP="00AC0E2C">
            <w:pPr>
              <w:rPr>
                <w:rFonts w:asciiTheme="majorHAnsi" w:hAnsiTheme="majorHAnsi" w:cstheme="majorHAnsi"/>
                <w:szCs w:val="20"/>
              </w:rPr>
            </w:pPr>
            <w:r w:rsidRPr="002F4766">
              <w:rPr>
                <w:rFonts w:asciiTheme="majorHAnsi" w:hAnsiTheme="majorHAnsi" w:cstheme="majorHAnsi"/>
                <w:szCs w:val="20"/>
              </w:rPr>
              <w:t>Tokom cele implementacije</w:t>
            </w:r>
          </w:p>
        </w:tc>
        <w:tc>
          <w:tcPr>
            <w:tcW w:w="1616" w:type="dxa"/>
            <w:tcMar>
              <w:top w:w="60" w:type="dxa"/>
              <w:left w:w="60" w:type="dxa"/>
              <w:bottom w:w="60" w:type="dxa"/>
              <w:right w:w="60" w:type="dxa"/>
            </w:tcMar>
          </w:tcPr>
          <w:p w14:paraId="7753F3AE" w14:textId="0C84FB96" w:rsidR="00C05838" w:rsidRPr="00325210" w:rsidRDefault="002F4766" w:rsidP="00AC0E2C">
            <w:pPr>
              <w:rPr>
                <w:rFonts w:asciiTheme="majorHAnsi" w:hAnsiTheme="majorHAnsi" w:cstheme="majorHAnsi"/>
                <w:szCs w:val="20"/>
              </w:rPr>
            </w:pPr>
            <w:r w:rsidRPr="00325210">
              <w:rPr>
                <w:rFonts w:asciiTheme="majorHAnsi" w:hAnsiTheme="majorHAnsi" w:cstheme="majorHAnsi"/>
                <w:szCs w:val="20"/>
              </w:rPr>
              <w:t>O</w:t>
            </w:r>
            <w:r w:rsidR="00362F2F" w:rsidRPr="00325210">
              <w:rPr>
                <w:rFonts w:asciiTheme="majorHAnsi" w:hAnsiTheme="majorHAnsi" w:cstheme="majorHAnsi"/>
                <w:szCs w:val="20"/>
              </w:rPr>
              <w:t>ITEG/PIU, stručnjak za društvene odnose</w:t>
            </w:r>
            <w:r w:rsidR="00325210" w:rsidRPr="00325210">
              <w:rPr>
                <w:rFonts w:asciiTheme="majorHAnsi" w:hAnsiTheme="majorHAnsi" w:cstheme="majorHAnsi"/>
                <w:szCs w:val="20"/>
              </w:rPr>
              <w:t xml:space="preserve"> i tim za </w:t>
            </w:r>
            <w:r w:rsidR="00325210">
              <w:rPr>
                <w:rFonts w:asciiTheme="majorHAnsi" w:hAnsiTheme="majorHAnsi" w:cstheme="majorHAnsi"/>
                <w:szCs w:val="20"/>
              </w:rPr>
              <w:t>komunikaciju</w:t>
            </w:r>
          </w:p>
        </w:tc>
      </w:tr>
      <w:tr w:rsidR="00BA2861" w:rsidRPr="00386B69" w14:paraId="62FB33A2" w14:textId="77777777" w:rsidTr="00C05838">
        <w:trPr>
          <w:cantSplit/>
          <w:jc w:val="center"/>
        </w:trPr>
        <w:tc>
          <w:tcPr>
            <w:tcW w:w="1687" w:type="dxa"/>
            <w:tcMar>
              <w:top w:w="60" w:type="dxa"/>
              <w:left w:w="60" w:type="dxa"/>
              <w:bottom w:w="60" w:type="dxa"/>
              <w:right w:w="60" w:type="dxa"/>
            </w:tcMar>
          </w:tcPr>
          <w:p w14:paraId="3B9CDB43" w14:textId="23303AB6"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lastRenderedPageBreak/>
              <w:t>Komponenta 4: Upravljanje projektom</w:t>
            </w:r>
          </w:p>
        </w:tc>
        <w:tc>
          <w:tcPr>
            <w:tcW w:w="973" w:type="dxa"/>
          </w:tcPr>
          <w:p w14:paraId="19DB3468" w14:textId="77777777" w:rsidR="00C05838" w:rsidRPr="00611C08" w:rsidRDefault="00C05838" w:rsidP="00AC0E2C">
            <w:pPr>
              <w:rPr>
                <w:rFonts w:asciiTheme="majorHAnsi" w:hAnsiTheme="majorHAnsi" w:cstheme="majorHAnsi"/>
                <w:szCs w:val="20"/>
              </w:rPr>
            </w:pPr>
          </w:p>
        </w:tc>
        <w:tc>
          <w:tcPr>
            <w:tcW w:w="1576" w:type="dxa"/>
            <w:tcMar>
              <w:top w:w="60" w:type="dxa"/>
              <w:left w:w="60" w:type="dxa"/>
              <w:bottom w:w="60" w:type="dxa"/>
              <w:right w:w="60" w:type="dxa"/>
            </w:tcMar>
          </w:tcPr>
          <w:p w14:paraId="0B945FED" w14:textId="2DB059B4" w:rsidR="00C05838" w:rsidRPr="00611C08" w:rsidRDefault="00BA2861" w:rsidP="00AC0E2C">
            <w:pPr>
              <w:rPr>
                <w:rFonts w:asciiTheme="majorHAnsi" w:hAnsiTheme="majorHAnsi" w:cstheme="majorHAnsi"/>
                <w:szCs w:val="20"/>
              </w:rPr>
            </w:pPr>
            <w:r>
              <w:rPr>
                <w:rFonts w:asciiTheme="majorHAnsi" w:hAnsiTheme="majorHAnsi" w:cstheme="majorHAnsi"/>
                <w:szCs w:val="20"/>
              </w:rPr>
              <w:t xml:space="preserve">GRM, </w:t>
            </w:r>
            <w:r w:rsidRPr="00BA2861">
              <w:rPr>
                <w:rFonts w:asciiTheme="majorHAnsi" w:hAnsiTheme="majorHAnsi" w:cstheme="majorHAnsi"/>
                <w:szCs w:val="20"/>
              </w:rPr>
              <w:t>angažovanje građana, ažuriranja projekta, izveštavanje o povratnim informacijama</w:t>
            </w:r>
          </w:p>
        </w:tc>
        <w:tc>
          <w:tcPr>
            <w:tcW w:w="1482" w:type="dxa"/>
            <w:tcMar>
              <w:top w:w="60" w:type="dxa"/>
              <w:left w:w="60" w:type="dxa"/>
              <w:bottom w:w="60" w:type="dxa"/>
              <w:right w:w="60" w:type="dxa"/>
            </w:tcMar>
          </w:tcPr>
          <w:p w14:paraId="5630BE9E" w14:textId="58B1CF4B" w:rsidR="00C05838" w:rsidRPr="00611C08" w:rsidRDefault="00BA2861" w:rsidP="00AC0E2C">
            <w:pPr>
              <w:rPr>
                <w:rFonts w:asciiTheme="majorHAnsi" w:hAnsiTheme="majorHAnsi" w:cstheme="majorHAnsi"/>
                <w:szCs w:val="20"/>
              </w:rPr>
            </w:pPr>
            <w:r>
              <w:rPr>
                <w:rFonts w:asciiTheme="majorHAnsi" w:hAnsiTheme="majorHAnsi" w:cstheme="majorHAnsi"/>
                <w:szCs w:val="20"/>
              </w:rPr>
              <w:t>Sve zainteresovane strane</w:t>
            </w:r>
          </w:p>
        </w:tc>
        <w:tc>
          <w:tcPr>
            <w:tcW w:w="1625" w:type="dxa"/>
            <w:tcMar>
              <w:top w:w="60" w:type="dxa"/>
              <w:left w:w="60" w:type="dxa"/>
              <w:bottom w:w="60" w:type="dxa"/>
              <w:right w:w="60" w:type="dxa"/>
            </w:tcMar>
          </w:tcPr>
          <w:p w14:paraId="270DA418" w14:textId="5E7AE015"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Ažuriranja veb-sajta, izveštaji, javna obaveštenja, GRM kanal</w:t>
            </w:r>
            <w:r>
              <w:rPr>
                <w:rFonts w:asciiTheme="majorHAnsi" w:hAnsiTheme="majorHAnsi" w:cstheme="majorHAnsi"/>
                <w:szCs w:val="20"/>
              </w:rPr>
              <w:t>i</w:t>
            </w:r>
          </w:p>
        </w:tc>
        <w:tc>
          <w:tcPr>
            <w:tcW w:w="1687" w:type="dxa"/>
            <w:tcMar>
              <w:top w:w="60" w:type="dxa"/>
              <w:left w:w="60" w:type="dxa"/>
              <w:bottom w:w="60" w:type="dxa"/>
              <w:right w:w="60" w:type="dxa"/>
            </w:tcMar>
          </w:tcPr>
          <w:p w14:paraId="515CE763" w14:textId="537DF256" w:rsidR="00C05838" w:rsidRPr="00611C08" w:rsidRDefault="00BA2861" w:rsidP="00AC0E2C">
            <w:pPr>
              <w:rPr>
                <w:rFonts w:asciiTheme="majorHAnsi" w:hAnsiTheme="majorHAnsi" w:cstheme="majorHAnsi"/>
                <w:szCs w:val="20"/>
              </w:rPr>
            </w:pPr>
            <w:r>
              <w:rPr>
                <w:rFonts w:asciiTheme="majorHAnsi" w:hAnsiTheme="majorHAnsi" w:cstheme="majorHAnsi"/>
                <w:szCs w:val="20"/>
              </w:rPr>
              <w:t>Kontinuirano</w:t>
            </w:r>
          </w:p>
        </w:tc>
        <w:tc>
          <w:tcPr>
            <w:tcW w:w="1616" w:type="dxa"/>
            <w:tcMar>
              <w:top w:w="60" w:type="dxa"/>
              <w:left w:w="60" w:type="dxa"/>
              <w:bottom w:w="60" w:type="dxa"/>
              <w:right w:w="60" w:type="dxa"/>
            </w:tcMar>
          </w:tcPr>
          <w:p w14:paraId="7425A36B" w14:textId="77777777" w:rsidR="00C05838" w:rsidRPr="00611C08" w:rsidRDefault="00C05838" w:rsidP="00AC0E2C">
            <w:pPr>
              <w:rPr>
                <w:rFonts w:asciiTheme="majorHAnsi" w:hAnsiTheme="majorHAnsi" w:cstheme="majorHAnsi"/>
                <w:szCs w:val="20"/>
              </w:rPr>
            </w:pPr>
            <w:r w:rsidRPr="00611C08">
              <w:rPr>
                <w:rFonts w:asciiTheme="majorHAnsi" w:hAnsiTheme="majorHAnsi" w:cstheme="majorHAnsi"/>
                <w:szCs w:val="20"/>
              </w:rPr>
              <w:t>OITEG/PIU</w:t>
            </w:r>
          </w:p>
        </w:tc>
      </w:tr>
      <w:tr w:rsidR="00BA2861" w:rsidRPr="00386B69" w14:paraId="64BCEAE2" w14:textId="77777777" w:rsidTr="00C05838">
        <w:trPr>
          <w:cantSplit/>
          <w:jc w:val="center"/>
        </w:trPr>
        <w:tc>
          <w:tcPr>
            <w:tcW w:w="1687" w:type="dxa"/>
            <w:tcMar>
              <w:top w:w="60" w:type="dxa"/>
              <w:left w:w="60" w:type="dxa"/>
              <w:bottom w:w="60" w:type="dxa"/>
              <w:right w:w="60" w:type="dxa"/>
            </w:tcMar>
          </w:tcPr>
          <w:p w14:paraId="59F8C01E" w14:textId="4102752F"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Komponenta 5: Cyber-CERC</w:t>
            </w:r>
          </w:p>
        </w:tc>
        <w:tc>
          <w:tcPr>
            <w:tcW w:w="973" w:type="dxa"/>
          </w:tcPr>
          <w:p w14:paraId="18F78904" w14:textId="77777777" w:rsidR="00C05838" w:rsidRPr="00611C08" w:rsidRDefault="00C05838" w:rsidP="00AC0E2C">
            <w:pPr>
              <w:rPr>
                <w:rFonts w:asciiTheme="majorHAnsi" w:hAnsiTheme="majorHAnsi" w:cstheme="majorHAnsi"/>
                <w:szCs w:val="20"/>
              </w:rPr>
            </w:pPr>
          </w:p>
        </w:tc>
        <w:tc>
          <w:tcPr>
            <w:tcW w:w="1576" w:type="dxa"/>
            <w:tcMar>
              <w:top w:w="60" w:type="dxa"/>
              <w:left w:w="60" w:type="dxa"/>
              <w:bottom w:w="60" w:type="dxa"/>
              <w:right w:w="60" w:type="dxa"/>
            </w:tcMar>
          </w:tcPr>
          <w:p w14:paraId="36EF18D0" w14:textId="1A7253D8"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Komunikacija u hitnim situacijama u slučaju aktiviranja mehanizm</w:t>
            </w:r>
            <w:r>
              <w:rPr>
                <w:rFonts w:asciiTheme="majorHAnsi" w:hAnsiTheme="majorHAnsi" w:cstheme="majorHAnsi"/>
                <w:szCs w:val="20"/>
              </w:rPr>
              <w:t>a</w:t>
            </w:r>
          </w:p>
        </w:tc>
        <w:tc>
          <w:tcPr>
            <w:tcW w:w="1482" w:type="dxa"/>
            <w:tcMar>
              <w:top w:w="60" w:type="dxa"/>
              <w:left w:w="60" w:type="dxa"/>
              <w:bottom w:w="60" w:type="dxa"/>
              <w:right w:w="60" w:type="dxa"/>
            </w:tcMar>
          </w:tcPr>
          <w:p w14:paraId="0D97BC35" w14:textId="74684324"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Državne institucije, pogođeni korisnici, javnost, privreda</w:t>
            </w:r>
          </w:p>
        </w:tc>
        <w:tc>
          <w:tcPr>
            <w:tcW w:w="1625" w:type="dxa"/>
            <w:tcMar>
              <w:top w:w="60" w:type="dxa"/>
              <w:left w:w="60" w:type="dxa"/>
              <w:bottom w:w="60" w:type="dxa"/>
              <w:right w:w="60" w:type="dxa"/>
            </w:tcMar>
          </w:tcPr>
          <w:p w14:paraId="111BEC2A" w14:textId="248DDDCE"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Kanali hitnog informisanja, zvanična saopštenja, helpdesk/GRM</w:t>
            </w:r>
          </w:p>
        </w:tc>
        <w:tc>
          <w:tcPr>
            <w:tcW w:w="1687" w:type="dxa"/>
            <w:tcMar>
              <w:top w:w="60" w:type="dxa"/>
              <w:left w:w="60" w:type="dxa"/>
              <w:bottom w:w="60" w:type="dxa"/>
              <w:right w:w="60" w:type="dxa"/>
            </w:tcMar>
          </w:tcPr>
          <w:p w14:paraId="773FAF7E" w14:textId="489B21BC"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U slučaju aktiviranja</w:t>
            </w:r>
          </w:p>
        </w:tc>
        <w:tc>
          <w:tcPr>
            <w:tcW w:w="1616" w:type="dxa"/>
            <w:tcMar>
              <w:top w:w="60" w:type="dxa"/>
              <w:left w:w="60" w:type="dxa"/>
              <w:bottom w:w="60" w:type="dxa"/>
              <w:right w:w="60" w:type="dxa"/>
            </w:tcMar>
          </w:tcPr>
          <w:p w14:paraId="613C635E" w14:textId="5FB5B801" w:rsidR="00C05838" w:rsidRPr="00611C08" w:rsidRDefault="00BA2861" w:rsidP="00AC0E2C">
            <w:pPr>
              <w:rPr>
                <w:rFonts w:asciiTheme="majorHAnsi" w:hAnsiTheme="majorHAnsi" w:cstheme="majorHAnsi"/>
                <w:szCs w:val="20"/>
              </w:rPr>
            </w:pPr>
            <w:r w:rsidRPr="00BA2861">
              <w:rPr>
                <w:rFonts w:asciiTheme="majorHAnsi" w:hAnsiTheme="majorHAnsi" w:cstheme="majorHAnsi"/>
                <w:szCs w:val="20"/>
              </w:rPr>
              <w:t>OITEG/PIU i relevantne nadležne institucije</w:t>
            </w:r>
          </w:p>
        </w:tc>
      </w:tr>
    </w:tbl>
    <w:p w14:paraId="12BF34D6" w14:textId="124AB9CA" w:rsidR="007E15DB" w:rsidRPr="00386B69" w:rsidRDefault="007E15DB" w:rsidP="004962FD">
      <w:pPr>
        <w:ind w:right="576"/>
        <w:rPr>
          <w:rFonts w:asciiTheme="majorHAnsi" w:hAnsiTheme="majorHAnsi" w:cstheme="majorHAnsi"/>
          <w:sz w:val="22"/>
        </w:rPr>
      </w:pPr>
    </w:p>
    <w:p w14:paraId="4C5AB116" w14:textId="4888E13A" w:rsidR="007E15DB" w:rsidRPr="00611C08" w:rsidRDefault="00251DA1" w:rsidP="00611C08">
      <w:pPr>
        <w:pStyle w:val="ListParagraph"/>
        <w:numPr>
          <w:ilvl w:val="2"/>
          <w:numId w:val="20"/>
        </w:numPr>
        <w:ind w:right="576"/>
        <w:rPr>
          <w:rFonts w:asciiTheme="majorHAnsi" w:hAnsiTheme="majorHAnsi" w:cstheme="majorHAnsi"/>
          <w:b/>
          <w:bCs/>
          <w:sz w:val="22"/>
        </w:rPr>
      </w:pPr>
      <w:r>
        <w:rPr>
          <w:rFonts w:asciiTheme="majorHAnsi" w:hAnsiTheme="majorHAnsi" w:cstheme="majorHAnsi"/>
          <w:b/>
          <w:bCs/>
          <w:sz w:val="22"/>
        </w:rPr>
        <w:t>Resursi I odgovornost</w:t>
      </w:r>
    </w:p>
    <w:p w14:paraId="4E486D70" w14:textId="4ACBD791" w:rsidR="007E15DB" w:rsidRPr="00386B69" w:rsidRDefault="00251DA1" w:rsidP="00611C08">
      <w:pPr>
        <w:pStyle w:val="Heading2"/>
        <w:numPr>
          <w:ilvl w:val="1"/>
          <w:numId w:val="21"/>
        </w:numPr>
        <w:spacing w:before="60" w:after="120"/>
        <w:ind w:right="576"/>
        <w:jc w:val="both"/>
        <w:rPr>
          <w:rFonts w:cstheme="majorHAnsi"/>
          <w:color w:val="auto"/>
          <w:sz w:val="22"/>
          <w:szCs w:val="22"/>
        </w:rPr>
      </w:pPr>
      <w:r>
        <w:rPr>
          <w:rFonts w:eastAsia="Arial" w:cstheme="majorHAnsi"/>
          <w:color w:val="auto"/>
          <w:sz w:val="22"/>
          <w:szCs w:val="22"/>
        </w:rPr>
        <w:t>Institucionalni aranžmani</w:t>
      </w:r>
    </w:p>
    <w:p w14:paraId="45785ACE" w14:textId="6AE5CEE0" w:rsidR="00251DA1" w:rsidRPr="00251DA1" w:rsidRDefault="00251DA1" w:rsidP="00251DA1">
      <w:pPr>
        <w:spacing w:after="120" w:line="252" w:lineRule="auto"/>
        <w:ind w:left="720" w:right="576"/>
        <w:jc w:val="both"/>
        <w:rPr>
          <w:rFonts w:asciiTheme="majorHAnsi" w:hAnsiTheme="majorHAnsi" w:cstheme="majorHAnsi"/>
          <w:sz w:val="22"/>
          <w:lang w:val="en-GB"/>
        </w:rPr>
      </w:pPr>
      <w:r w:rsidRPr="00251DA1">
        <w:rPr>
          <w:rFonts w:asciiTheme="majorHAnsi" w:hAnsiTheme="majorHAnsi" w:cstheme="majorHAnsi"/>
          <w:sz w:val="22"/>
          <w:lang w:val="en-GB"/>
        </w:rPr>
        <w:t>OITEG će biti institucija nadležna za sprovođenje projekta SERVIS i imaće ukupnu odgovornost za implementaciju ovog Plana angažovanja zainteresovanih strana (SEP). Jedinica za implementaciju projekta (PIU), smeštena u okviru OITEG-a, koordinisaće svakodnevnu implementaciju, uključujući angažovanje zainteresovanih strana, komunikacije, povratne informacije građana, rešavanje pritužbi i praćenje i evaluaciju.</w:t>
      </w:r>
    </w:p>
    <w:p w14:paraId="35406C19" w14:textId="29169322" w:rsidR="00251DA1" w:rsidRPr="00251DA1" w:rsidRDefault="00251DA1" w:rsidP="00251DA1">
      <w:pPr>
        <w:spacing w:after="120" w:line="252" w:lineRule="auto"/>
        <w:ind w:left="720" w:right="576"/>
        <w:jc w:val="both"/>
        <w:rPr>
          <w:rFonts w:asciiTheme="majorHAnsi" w:hAnsiTheme="majorHAnsi" w:cstheme="majorHAnsi"/>
          <w:sz w:val="22"/>
          <w:lang w:val="en-GB"/>
        </w:rPr>
      </w:pPr>
      <w:r w:rsidRPr="00251DA1">
        <w:rPr>
          <w:rFonts w:asciiTheme="majorHAnsi" w:hAnsiTheme="majorHAnsi" w:cstheme="majorHAnsi"/>
          <w:sz w:val="22"/>
          <w:lang w:val="en-GB"/>
        </w:rPr>
        <w:t xml:space="preserve">PIU </w:t>
      </w:r>
      <w:r>
        <w:rPr>
          <w:rFonts w:asciiTheme="majorHAnsi" w:hAnsiTheme="majorHAnsi" w:cstheme="majorHAnsi"/>
          <w:sz w:val="22"/>
          <w:lang w:val="en-GB"/>
        </w:rPr>
        <w:t>će obuhvatiti</w:t>
      </w:r>
      <w:r w:rsidRPr="00251DA1">
        <w:rPr>
          <w:rFonts w:asciiTheme="majorHAnsi" w:hAnsiTheme="majorHAnsi" w:cstheme="majorHAnsi"/>
          <w:sz w:val="22"/>
          <w:lang w:val="en-GB"/>
        </w:rPr>
        <w:t xml:space="preserve"> koordinatora projekta, finansijsko-administrativno osoblje, tehničke stručnjake, stručnjake za zaštitu životne sredine i </w:t>
      </w:r>
      <w:r>
        <w:rPr>
          <w:rFonts w:asciiTheme="majorHAnsi" w:hAnsiTheme="majorHAnsi" w:cstheme="majorHAnsi"/>
          <w:sz w:val="22"/>
          <w:lang w:val="en-GB"/>
        </w:rPr>
        <w:t>društvena</w:t>
      </w:r>
      <w:r w:rsidRPr="00251DA1">
        <w:rPr>
          <w:rFonts w:asciiTheme="majorHAnsi" w:hAnsiTheme="majorHAnsi" w:cstheme="majorHAnsi"/>
          <w:sz w:val="22"/>
          <w:lang w:val="en-GB"/>
        </w:rPr>
        <w:t xml:space="preserve"> pitanja, kapacitete za praćenje i evaluaciju (M&amp;E), kao i podršku za komunikacije i terenski rad, prema potrebi. Konačna struktura osoblja biće potvrđena tokom pripreme projekta i definisana u Projektno-operativnom priručniku (POM).</w:t>
      </w:r>
    </w:p>
    <w:p w14:paraId="2B66532A" w14:textId="256D18F1" w:rsidR="007E15DB" w:rsidRPr="00251DA1" w:rsidRDefault="00251DA1" w:rsidP="00251DA1">
      <w:pPr>
        <w:spacing w:after="120" w:line="252" w:lineRule="auto"/>
        <w:ind w:left="720" w:right="576"/>
        <w:jc w:val="both"/>
        <w:rPr>
          <w:rFonts w:asciiTheme="majorHAnsi" w:hAnsiTheme="majorHAnsi" w:cstheme="majorHAnsi"/>
          <w:sz w:val="22"/>
          <w:lang w:val="en-GB"/>
        </w:rPr>
      </w:pPr>
      <w:r w:rsidRPr="00251DA1">
        <w:rPr>
          <w:rFonts w:asciiTheme="majorHAnsi" w:hAnsiTheme="majorHAnsi" w:cstheme="majorHAnsi"/>
          <w:sz w:val="22"/>
          <w:lang w:val="en-GB"/>
        </w:rPr>
        <w:t>Resorna ministarstva i agencije uključene u pojedine aktivnosti, uključujući Ministarstvo unutrašnjih poslova i Republički fond za zdravstveno osiguranje, pružiće podršku u angažovanju zainteresovanih strana u vezi sa svojim odgovarajućim slučajevima upotrebe i uslugama</w:t>
      </w:r>
      <w:r>
        <w:rPr>
          <w:rFonts w:asciiTheme="majorHAnsi" w:hAnsiTheme="majorHAnsi" w:cstheme="majorHAnsi"/>
          <w:sz w:val="22"/>
          <w:lang w:val="en-GB"/>
        </w:rPr>
        <w:t>.</w:t>
      </w:r>
    </w:p>
    <w:p w14:paraId="0F912F07" w14:textId="68CDC132" w:rsidR="007E15DB" w:rsidRPr="00386B69" w:rsidRDefault="00811B0E" w:rsidP="00AC0E2C">
      <w:pPr>
        <w:pStyle w:val="Heading2"/>
        <w:spacing w:before="60" w:after="120"/>
        <w:ind w:left="720" w:right="576"/>
        <w:jc w:val="both"/>
        <w:rPr>
          <w:rFonts w:cstheme="majorHAnsi"/>
          <w:color w:val="auto"/>
          <w:sz w:val="22"/>
          <w:szCs w:val="22"/>
        </w:rPr>
      </w:pPr>
      <w:r w:rsidRPr="00386B69">
        <w:rPr>
          <w:rFonts w:eastAsia="Arial" w:cstheme="majorHAnsi"/>
          <w:color w:val="auto"/>
          <w:sz w:val="22"/>
          <w:szCs w:val="22"/>
        </w:rPr>
        <w:t>6</w:t>
      </w:r>
      <w:r w:rsidR="002A02CD">
        <w:rPr>
          <w:rFonts w:eastAsia="Arial" w:cstheme="majorHAnsi"/>
          <w:color w:val="auto"/>
          <w:sz w:val="22"/>
          <w:szCs w:val="22"/>
        </w:rPr>
        <w:t>.2 Uloge i odgovornosti</w:t>
      </w:r>
    </w:p>
    <w:tbl>
      <w:tblPr>
        <w:tblStyle w:val="TableGrid"/>
        <w:tblW w:w="5000" w:type="pct"/>
        <w:jc w:val="center"/>
        <w:tblLook w:val="04A0" w:firstRow="1" w:lastRow="0" w:firstColumn="1" w:lastColumn="0" w:noHBand="0" w:noVBand="1"/>
      </w:tblPr>
      <w:tblGrid>
        <w:gridCol w:w="3258"/>
        <w:gridCol w:w="7388"/>
      </w:tblGrid>
      <w:tr w:rsidR="00386B69" w:rsidRPr="00386B69" w14:paraId="0C68B16B" w14:textId="77777777" w:rsidTr="00386B69">
        <w:trPr>
          <w:cantSplit/>
          <w:tblHeader/>
          <w:jc w:val="center"/>
        </w:trPr>
        <w:tc>
          <w:tcPr>
            <w:tcW w:w="3280" w:type="dxa"/>
            <w:shd w:val="clear" w:color="auto" w:fill="D9EAF7"/>
            <w:tcMar>
              <w:top w:w="60" w:type="dxa"/>
              <w:left w:w="60" w:type="dxa"/>
              <w:bottom w:w="60" w:type="dxa"/>
              <w:right w:w="60" w:type="dxa"/>
            </w:tcMar>
          </w:tcPr>
          <w:p w14:paraId="4FC5DEEF" w14:textId="034D169B" w:rsidR="007E15DB" w:rsidRPr="00386B69" w:rsidRDefault="003B0568" w:rsidP="00AC0E2C">
            <w:pPr>
              <w:rPr>
                <w:rFonts w:asciiTheme="majorHAnsi" w:hAnsiTheme="majorHAnsi" w:cstheme="majorHAnsi"/>
                <w:sz w:val="22"/>
              </w:rPr>
            </w:pPr>
            <w:r>
              <w:rPr>
                <w:rFonts w:asciiTheme="majorHAnsi" w:hAnsiTheme="majorHAnsi" w:cstheme="majorHAnsi"/>
                <w:b/>
              </w:rPr>
              <w:t>Subjekat</w:t>
            </w:r>
          </w:p>
        </w:tc>
        <w:tc>
          <w:tcPr>
            <w:tcW w:w="7456" w:type="dxa"/>
            <w:shd w:val="clear" w:color="auto" w:fill="D9EAF7"/>
            <w:tcMar>
              <w:top w:w="60" w:type="dxa"/>
              <w:left w:w="60" w:type="dxa"/>
              <w:bottom w:w="60" w:type="dxa"/>
              <w:right w:w="60" w:type="dxa"/>
            </w:tcMar>
          </w:tcPr>
          <w:p w14:paraId="750643EC" w14:textId="71A8BD89" w:rsidR="007E15DB" w:rsidRPr="00386B69" w:rsidRDefault="003B0568" w:rsidP="00AC0E2C">
            <w:pPr>
              <w:rPr>
                <w:rFonts w:asciiTheme="majorHAnsi" w:hAnsiTheme="majorHAnsi" w:cstheme="majorHAnsi"/>
                <w:sz w:val="22"/>
              </w:rPr>
            </w:pPr>
            <w:r>
              <w:rPr>
                <w:rFonts w:asciiTheme="majorHAnsi" w:hAnsiTheme="majorHAnsi" w:cstheme="majorHAnsi"/>
                <w:b/>
              </w:rPr>
              <w:t>Odgovornosti</w:t>
            </w:r>
          </w:p>
        </w:tc>
      </w:tr>
      <w:tr w:rsidR="00386B69" w:rsidRPr="00386B69" w14:paraId="28618AC2" w14:textId="77777777" w:rsidTr="00386B69">
        <w:trPr>
          <w:cantSplit/>
          <w:jc w:val="center"/>
        </w:trPr>
        <w:tc>
          <w:tcPr>
            <w:tcW w:w="3280" w:type="dxa"/>
            <w:tcMar>
              <w:top w:w="60" w:type="dxa"/>
              <w:left w:w="60" w:type="dxa"/>
              <w:bottom w:w="60" w:type="dxa"/>
              <w:right w:w="60" w:type="dxa"/>
            </w:tcMar>
          </w:tcPr>
          <w:p w14:paraId="276B12F1"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OITEG</w:t>
            </w:r>
          </w:p>
        </w:tc>
        <w:tc>
          <w:tcPr>
            <w:tcW w:w="7456" w:type="dxa"/>
            <w:tcMar>
              <w:top w:w="60" w:type="dxa"/>
              <w:left w:w="60" w:type="dxa"/>
              <w:bottom w:w="60" w:type="dxa"/>
              <w:right w:w="60" w:type="dxa"/>
            </w:tcMar>
          </w:tcPr>
          <w:p w14:paraId="51C25C73" w14:textId="2080B85C" w:rsidR="007E15DB" w:rsidRPr="00386B69" w:rsidRDefault="00506E5B" w:rsidP="00AC0E2C">
            <w:pPr>
              <w:rPr>
                <w:rFonts w:asciiTheme="majorHAnsi" w:hAnsiTheme="majorHAnsi" w:cstheme="majorHAnsi"/>
                <w:sz w:val="22"/>
              </w:rPr>
            </w:pPr>
            <w:r>
              <w:rPr>
                <w:rFonts w:asciiTheme="majorHAnsi" w:hAnsiTheme="majorHAnsi" w:cstheme="majorHAnsi"/>
              </w:rPr>
              <w:t>Celokupna</w:t>
            </w:r>
            <w:r w:rsidRPr="00506E5B">
              <w:rPr>
                <w:rFonts w:asciiTheme="majorHAnsi" w:hAnsiTheme="majorHAnsi" w:cstheme="majorHAnsi"/>
              </w:rPr>
              <w:t xml:space="preserve"> implementacija SEP-a; koordinacija sa državnim institucijama; objavljivanje informacija o projektu; nadzor nad komunikacijama i GRM-om</w:t>
            </w:r>
          </w:p>
        </w:tc>
      </w:tr>
      <w:tr w:rsidR="00386B69" w:rsidRPr="00386B69" w14:paraId="1CF06C6D" w14:textId="77777777" w:rsidTr="00386B69">
        <w:trPr>
          <w:cantSplit/>
          <w:jc w:val="center"/>
        </w:trPr>
        <w:tc>
          <w:tcPr>
            <w:tcW w:w="3280" w:type="dxa"/>
            <w:tcMar>
              <w:top w:w="60" w:type="dxa"/>
              <w:left w:w="60" w:type="dxa"/>
              <w:bottom w:w="60" w:type="dxa"/>
              <w:right w:w="60" w:type="dxa"/>
            </w:tcMar>
          </w:tcPr>
          <w:p w14:paraId="41150C4B" w14:textId="77777777" w:rsidR="007E15DB" w:rsidRPr="00386B69" w:rsidRDefault="00811B0E" w:rsidP="00AC0E2C">
            <w:pPr>
              <w:rPr>
                <w:rFonts w:asciiTheme="majorHAnsi" w:hAnsiTheme="majorHAnsi" w:cstheme="majorHAnsi"/>
                <w:sz w:val="22"/>
              </w:rPr>
            </w:pPr>
            <w:r w:rsidRPr="00386B69">
              <w:rPr>
                <w:rFonts w:asciiTheme="majorHAnsi" w:hAnsiTheme="majorHAnsi" w:cstheme="majorHAnsi"/>
              </w:rPr>
              <w:t>PIU</w:t>
            </w:r>
          </w:p>
        </w:tc>
        <w:tc>
          <w:tcPr>
            <w:tcW w:w="7456" w:type="dxa"/>
            <w:tcMar>
              <w:top w:w="60" w:type="dxa"/>
              <w:left w:w="60" w:type="dxa"/>
              <w:bottom w:w="60" w:type="dxa"/>
              <w:right w:w="60" w:type="dxa"/>
            </w:tcMar>
          </w:tcPr>
          <w:p w14:paraId="5F856E96" w14:textId="2C098E5C" w:rsidR="007E15DB" w:rsidRPr="00386B69" w:rsidRDefault="00506E5B" w:rsidP="00AC0E2C">
            <w:pPr>
              <w:rPr>
                <w:rFonts w:asciiTheme="majorHAnsi" w:hAnsiTheme="majorHAnsi" w:cstheme="majorHAnsi"/>
                <w:sz w:val="22"/>
              </w:rPr>
            </w:pPr>
            <w:r w:rsidRPr="00506E5B">
              <w:rPr>
                <w:rFonts w:asciiTheme="majorHAnsi" w:hAnsiTheme="majorHAnsi" w:cstheme="majorHAnsi"/>
              </w:rPr>
              <w:t>Svakodnevna koordinacija angažovanja zainteresovanih strana; vođenje evidencije o zainteresovanim stranama; organizacija konsultacija; sprovođenje GRM-a; praćenje i izveštavanje</w:t>
            </w:r>
          </w:p>
        </w:tc>
      </w:tr>
      <w:tr w:rsidR="00386B69" w:rsidRPr="00802EE5" w14:paraId="3DA2A385" w14:textId="77777777" w:rsidTr="00386B69">
        <w:trPr>
          <w:cantSplit/>
          <w:jc w:val="center"/>
        </w:trPr>
        <w:tc>
          <w:tcPr>
            <w:tcW w:w="3280" w:type="dxa"/>
            <w:tcMar>
              <w:top w:w="60" w:type="dxa"/>
              <w:left w:w="60" w:type="dxa"/>
              <w:bottom w:w="60" w:type="dxa"/>
              <w:right w:w="60" w:type="dxa"/>
            </w:tcMar>
          </w:tcPr>
          <w:p w14:paraId="4E7C55B5" w14:textId="39683E76" w:rsidR="007E15DB" w:rsidRPr="00E73840" w:rsidRDefault="00506E5B" w:rsidP="00506E5B">
            <w:pPr>
              <w:rPr>
                <w:rFonts w:asciiTheme="majorHAnsi" w:hAnsiTheme="majorHAnsi" w:cstheme="majorHAnsi"/>
                <w:sz w:val="22"/>
                <w:lang w:val="it-IT"/>
              </w:rPr>
            </w:pPr>
            <w:r w:rsidRPr="00E73840">
              <w:rPr>
                <w:rFonts w:asciiTheme="majorHAnsi" w:hAnsiTheme="majorHAnsi" w:cstheme="majorHAnsi"/>
                <w:lang w:val="it-IT"/>
              </w:rPr>
              <w:t>Stručnjak za društvene odnose PIU-a</w:t>
            </w:r>
          </w:p>
        </w:tc>
        <w:tc>
          <w:tcPr>
            <w:tcW w:w="7456" w:type="dxa"/>
            <w:tcMar>
              <w:top w:w="60" w:type="dxa"/>
              <w:left w:w="60" w:type="dxa"/>
              <w:bottom w:w="60" w:type="dxa"/>
              <w:right w:w="60" w:type="dxa"/>
            </w:tcMar>
          </w:tcPr>
          <w:p w14:paraId="12F0DEDE" w14:textId="7A70702A" w:rsidR="007E15DB" w:rsidRPr="00E73840" w:rsidRDefault="00506E5B" w:rsidP="00506E5B">
            <w:pPr>
              <w:rPr>
                <w:rFonts w:asciiTheme="majorHAnsi" w:hAnsiTheme="majorHAnsi" w:cstheme="majorHAnsi"/>
                <w:sz w:val="22"/>
                <w:lang w:val="it-IT"/>
              </w:rPr>
            </w:pPr>
            <w:r w:rsidRPr="00E73840">
              <w:rPr>
                <w:rFonts w:asciiTheme="majorHAnsi" w:hAnsiTheme="majorHAnsi" w:cstheme="majorHAnsi"/>
                <w:lang w:val="it-IT"/>
              </w:rPr>
              <w:t>Podrška inkluzivnom angažovanju zainteresovanih strana; identifikacija i otklanjanje prepreka za ranjive grupe; praćenje socijalne inkluzije i povratnih informacija vezanih za pristupačnost; podrška u rešavanju društvenih aspekata GRM-a</w:t>
            </w:r>
          </w:p>
        </w:tc>
      </w:tr>
      <w:tr w:rsidR="00386B69" w:rsidRPr="00802EE5" w14:paraId="57B9E0D3" w14:textId="77777777" w:rsidTr="00386B69">
        <w:trPr>
          <w:cantSplit/>
          <w:jc w:val="center"/>
        </w:trPr>
        <w:tc>
          <w:tcPr>
            <w:tcW w:w="3280" w:type="dxa"/>
            <w:tcMar>
              <w:top w:w="60" w:type="dxa"/>
              <w:left w:w="60" w:type="dxa"/>
              <w:bottom w:w="60" w:type="dxa"/>
              <w:right w:w="60" w:type="dxa"/>
            </w:tcMar>
          </w:tcPr>
          <w:p w14:paraId="2367F9FD" w14:textId="166692EC" w:rsidR="007E15DB" w:rsidRPr="00E73840" w:rsidRDefault="00506E5B" w:rsidP="00AC0E2C">
            <w:pPr>
              <w:rPr>
                <w:rFonts w:asciiTheme="majorHAnsi" w:hAnsiTheme="majorHAnsi" w:cstheme="majorHAnsi"/>
                <w:sz w:val="22"/>
                <w:lang w:val="it-IT"/>
              </w:rPr>
            </w:pPr>
            <w:r w:rsidRPr="00E73840">
              <w:rPr>
                <w:rFonts w:asciiTheme="majorHAnsi" w:hAnsiTheme="majorHAnsi" w:cstheme="majorHAnsi"/>
                <w:lang w:val="it-IT"/>
              </w:rPr>
              <w:t>Stručnjak za zaštitu životne sredine PIU-a</w:t>
            </w:r>
          </w:p>
        </w:tc>
        <w:tc>
          <w:tcPr>
            <w:tcW w:w="7456" w:type="dxa"/>
            <w:tcMar>
              <w:top w:w="60" w:type="dxa"/>
              <w:left w:w="60" w:type="dxa"/>
              <w:bottom w:w="60" w:type="dxa"/>
              <w:right w:w="60" w:type="dxa"/>
            </w:tcMar>
          </w:tcPr>
          <w:p w14:paraId="66EE1C20" w14:textId="18FB4235" w:rsidR="007E15DB" w:rsidRPr="00E73840" w:rsidRDefault="008E4053" w:rsidP="008E4053">
            <w:pPr>
              <w:rPr>
                <w:rFonts w:asciiTheme="majorHAnsi" w:hAnsiTheme="majorHAnsi" w:cstheme="majorHAnsi"/>
                <w:sz w:val="22"/>
                <w:lang w:val="it-IT"/>
              </w:rPr>
            </w:pPr>
            <w:r w:rsidRPr="00E73840">
              <w:rPr>
                <w:rFonts w:asciiTheme="majorHAnsi" w:hAnsiTheme="majorHAnsi" w:cstheme="majorHAnsi"/>
                <w:lang w:val="it-IT"/>
              </w:rPr>
              <w:t>Podrška usklađenosti sa zahtevima zaštite životne sredine i društvenim standardima gde je relevantno; koordinacija sa stručnjakom za društvene odnose u vezi sa sprovođenjem SEP-a i ESCP-a po potrebi</w:t>
            </w:r>
          </w:p>
        </w:tc>
      </w:tr>
      <w:tr w:rsidR="00386B69" w:rsidRPr="00802EE5" w14:paraId="15A4847F" w14:textId="77777777" w:rsidTr="00386B69">
        <w:trPr>
          <w:cantSplit/>
          <w:jc w:val="center"/>
        </w:trPr>
        <w:tc>
          <w:tcPr>
            <w:tcW w:w="3280" w:type="dxa"/>
            <w:tcMar>
              <w:top w:w="60" w:type="dxa"/>
              <w:left w:w="60" w:type="dxa"/>
              <w:bottom w:w="60" w:type="dxa"/>
              <w:right w:w="60" w:type="dxa"/>
            </w:tcMar>
          </w:tcPr>
          <w:p w14:paraId="10F2D965" w14:textId="6C94DF9C" w:rsidR="007E15DB" w:rsidRPr="00E73840" w:rsidRDefault="00522C67" w:rsidP="00AC0E2C">
            <w:pPr>
              <w:rPr>
                <w:rFonts w:asciiTheme="majorHAnsi" w:hAnsiTheme="majorHAnsi" w:cstheme="majorHAnsi"/>
                <w:sz w:val="22"/>
                <w:lang w:val="it-IT"/>
              </w:rPr>
            </w:pPr>
            <w:r>
              <w:rPr>
                <w:rFonts w:asciiTheme="majorHAnsi" w:hAnsiTheme="majorHAnsi" w:cstheme="majorHAnsi"/>
                <w:lang w:val="it-IT"/>
              </w:rPr>
              <w:lastRenderedPageBreak/>
              <w:t>Tim za komunikaciju</w:t>
            </w:r>
            <w:r w:rsidR="00E73840" w:rsidRPr="00E73840">
              <w:rPr>
                <w:rFonts w:asciiTheme="majorHAnsi" w:hAnsiTheme="majorHAnsi" w:cstheme="majorHAnsi"/>
                <w:lang w:val="it-IT"/>
              </w:rPr>
              <w:t xml:space="preserve"> i informisanje javnosti</w:t>
            </w:r>
          </w:p>
        </w:tc>
        <w:tc>
          <w:tcPr>
            <w:tcW w:w="7456" w:type="dxa"/>
            <w:tcMar>
              <w:top w:w="60" w:type="dxa"/>
              <w:left w:w="60" w:type="dxa"/>
              <w:bottom w:w="60" w:type="dxa"/>
              <w:right w:w="60" w:type="dxa"/>
            </w:tcMar>
          </w:tcPr>
          <w:p w14:paraId="4F8AA9E5" w14:textId="65504345" w:rsidR="007E15DB" w:rsidRPr="00E73840" w:rsidRDefault="00E73840" w:rsidP="00E73840">
            <w:pPr>
              <w:rPr>
                <w:rFonts w:asciiTheme="majorHAnsi" w:hAnsiTheme="majorHAnsi" w:cstheme="majorHAnsi"/>
                <w:sz w:val="22"/>
                <w:lang w:val="it-IT"/>
              </w:rPr>
            </w:pPr>
            <w:r w:rsidRPr="00E73840">
              <w:rPr>
                <w:rFonts w:asciiTheme="majorHAnsi" w:hAnsiTheme="majorHAnsi" w:cstheme="majorHAnsi"/>
                <w:lang w:val="it-IT"/>
              </w:rPr>
              <w:t xml:space="preserve">Priprema </w:t>
            </w:r>
            <w:r>
              <w:rPr>
                <w:rFonts w:asciiTheme="majorHAnsi" w:hAnsiTheme="majorHAnsi" w:cstheme="majorHAnsi"/>
                <w:lang w:val="it-IT"/>
              </w:rPr>
              <w:t>materijal za komunikaciju</w:t>
            </w:r>
            <w:r w:rsidRPr="00E73840">
              <w:rPr>
                <w:rFonts w:asciiTheme="majorHAnsi" w:hAnsiTheme="majorHAnsi" w:cstheme="majorHAnsi"/>
                <w:lang w:val="it-IT"/>
              </w:rPr>
              <w:t>; upravlja kampanjama informisanja; podržava aktivnosti promocije Digitalnog novčanika i informisanja javnost</w:t>
            </w:r>
          </w:p>
        </w:tc>
      </w:tr>
      <w:tr w:rsidR="00386B69" w:rsidRPr="00802EE5" w14:paraId="6D9A0C87" w14:textId="77777777" w:rsidTr="00386B69">
        <w:trPr>
          <w:cantSplit/>
          <w:jc w:val="center"/>
        </w:trPr>
        <w:tc>
          <w:tcPr>
            <w:tcW w:w="3280" w:type="dxa"/>
            <w:tcMar>
              <w:top w:w="60" w:type="dxa"/>
              <w:left w:w="60" w:type="dxa"/>
              <w:bottom w:w="60" w:type="dxa"/>
              <w:right w:w="60" w:type="dxa"/>
            </w:tcMar>
          </w:tcPr>
          <w:p w14:paraId="637BA87E" w14:textId="7B1F93E5" w:rsidR="007E15DB" w:rsidRPr="00E73840" w:rsidRDefault="00E73840" w:rsidP="00AC0E2C">
            <w:pPr>
              <w:rPr>
                <w:rFonts w:asciiTheme="majorHAnsi" w:hAnsiTheme="majorHAnsi" w:cstheme="majorHAnsi"/>
                <w:sz w:val="22"/>
                <w:lang w:val="it-IT"/>
              </w:rPr>
            </w:pPr>
            <w:r>
              <w:rPr>
                <w:rFonts w:asciiTheme="majorHAnsi" w:hAnsiTheme="majorHAnsi" w:cstheme="majorHAnsi"/>
                <w:lang w:val="it-IT"/>
              </w:rPr>
              <w:t>Stručnjak</w:t>
            </w:r>
            <w:r w:rsidRPr="00E73840">
              <w:rPr>
                <w:rFonts w:asciiTheme="majorHAnsi" w:hAnsiTheme="majorHAnsi" w:cstheme="majorHAnsi"/>
                <w:lang w:val="it-IT"/>
              </w:rPr>
              <w:t xml:space="preserve"> za monitoring i evaluaciju</w:t>
            </w:r>
          </w:p>
        </w:tc>
        <w:tc>
          <w:tcPr>
            <w:tcW w:w="7456" w:type="dxa"/>
            <w:tcMar>
              <w:top w:w="60" w:type="dxa"/>
              <w:left w:w="60" w:type="dxa"/>
              <w:bottom w:w="60" w:type="dxa"/>
              <w:right w:w="60" w:type="dxa"/>
            </w:tcMar>
          </w:tcPr>
          <w:p w14:paraId="19FBD7FF" w14:textId="6D5B4AD6" w:rsidR="007E15DB" w:rsidRPr="00E73840" w:rsidRDefault="00E73840" w:rsidP="00AC0E2C">
            <w:pPr>
              <w:rPr>
                <w:rFonts w:asciiTheme="majorHAnsi" w:hAnsiTheme="majorHAnsi" w:cstheme="majorHAnsi"/>
                <w:sz w:val="22"/>
                <w:lang w:val="it-IT"/>
              </w:rPr>
            </w:pPr>
            <w:r w:rsidRPr="00E73840">
              <w:rPr>
                <w:rFonts w:asciiTheme="majorHAnsi" w:hAnsiTheme="majorHAnsi" w:cstheme="majorHAnsi"/>
                <w:lang w:val="it-IT"/>
              </w:rPr>
              <w:t xml:space="preserve">Prati indikatore SEP-a; prikuplja povratne informacije zainteresovanih strana i podatke o pritužbama; podržava izveštavanje </w:t>
            </w:r>
            <w:r>
              <w:rPr>
                <w:rFonts w:asciiTheme="majorHAnsi" w:hAnsiTheme="majorHAnsi" w:cstheme="majorHAnsi"/>
                <w:lang w:val="it-IT"/>
              </w:rPr>
              <w:t xml:space="preserve">ka </w:t>
            </w:r>
            <w:r w:rsidRPr="00E73840">
              <w:rPr>
                <w:rFonts w:asciiTheme="majorHAnsi" w:hAnsiTheme="majorHAnsi" w:cstheme="majorHAnsi"/>
                <w:lang w:val="it-IT"/>
              </w:rPr>
              <w:t>zainteresovanim stranama</w:t>
            </w:r>
          </w:p>
        </w:tc>
      </w:tr>
      <w:tr w:rsidR="00386B69" w:rsidRPr="00386B69" w14:paraId="279AE11D" w14:textId="77777777" w:rsidTr="00386B69">
        <w:trPr>
          <w:cantSplit/>
          <w:jc w:val="center"/>
        </w:trPr>
        <w:tc>
          <w:tcPr>
            <w:tcW w:w="3280" w:type="dxa"/>
            <w:tcMar>
              <w:top w:w="60" w:type="dxa"/>
              <w:left w:w="60" w:type="dxa"/>
              <w:bottom w:w="60" w:type="dxa"/>
              <w:right w:w="60" w:type="dxa"/>
            </w:tcMar>
          </w:tcPr>
          <w:p w14:paraId="49DF8E67" w14:textId="5F1B5546" w:rsidR="007E15DB" w:rsidRPr="00386B69" w:rsidRDefault="00E73840" w:rsidP="00AC0E2C">
            <w:pPr>
              <w:rPr>
                <w:rFonts w:asciiTheme="majorHAnsi" w:hAnsiTheme="majorHAnsi" w:cstheme="majorHAnsi"/>
                <w:sz w:val="22"/>
              </w:rPr>
            </w:pPr>
            <w:r w:rsidRPr="00E73840">
              <w:rPr>
                <w:rFonts w:asciiTheme="majorHAnsi" w:hAnsiTheme="majorHAnsi" w:cstheme="majorHAnsi"/>
              </w:rPr>
              <w:t>Tehnički timov</w:t>
            </w:r>
            <w:r>
              <w:rPr>
                <w:rFonts w:asciiTheme="majorHAnsi" w:hAnsiTheme="majorHAnsi" w:cstheme="majorHAnsi"/>
              </w:rPr>
              <w:t>i</w:t>
            </w:r>
          </w:p>
        </w:tc>
        <w:tc>
          <w:tcPr>
            <w:tcW w:w="7456" w:type="dxa"/>
            <w:tcMar>
              <w:top w:w="60" w:type="dxa"/>
              <w:left w:w="60" w:type="dxa"/>
              <w:bottom w:w="60" w:type="dxa"/>
              <w:right w:w="60" w:type="dxa"/>
            </w:tcMar>
          </w:tcPr>
          <w:p w14:paraId="2066ECE5" w14:textId="49268C0E" w:rsidR="007E15DB" w:rsidRPr="00386B69" w:rsidRDefault="00E73840" w:rsidP="00AC0E2C">
            <w:pPr>
              <w:rPr>
                <w:rFonts w:asciiTheme="majorHAnsi" w:hAnsiTheme="majorHAnsi" w:cstheme="majorHAnsi"/>
                <w:sz w:val="22"/>
              </w:rPr>
            </w:pPr>
            <w:r w:rsidRPr="00E73840">
              <w:rPr>
                <w:rFonts w:asciiTheme="majorHAnsi" w:hAnsiTheme="majorHAnsi" w:cstheme="majorHAnsi"/>
              </w:rPr>
              <w:t>Pružaju tehničke informacije za konsultacije; podržavaju testiranje sa korisnicima, dizajn usluga i odgovore na tehnička pitanja i zabrinutosti</w:t>
            </w:r>
          </w:p>
        </w:tc>
      </w:tr>
      <w:tr w:rsidR="00386B69" w:rsidRPr="00802EE5" w14:paraId="67BD3EE3" w14:textId="77777777" w:rsidTr="00386B69">
        <w:trPr>
          <w:cantSplit/>
          <w:jc w:val="center"/>
        </w:trPr>
        <w:tc>
          <w:tcPr>
            <w:tcW w:w="3280" w:type="dxa"/>
            <w:tcMar>
              <w:top w:w="60" w:type="dxa"/>
              <w:left w:w="60" w:type="dxa"/>
              <w:bottom w:w="60" w:type="dxa"/>
              <w:right w:w="60" w:type="dxa"/>
            </w:tcMar>
          </w:tcPr>
          <w:p w14:paraId="7BBAD9CB" w14:textId="1DD77E00" w:rsidR="007E15DB" w:rsidRPr="00386B69" w:rsidRDefault="00E73840" w:rsidP="00E73840">
            <w:pPr>
              <w:rPr>
                <w:rFonts w:asciiTheme="majorHAnsi" w:hAnsiTheme="majorHAnsi" w:cstheme="majorHAnsi"/>
                <w:sz w:val="22"/>
              </w:rPr>
            </w:pPr>
            <w:r>
              <w:rPr>
                <w:rFonts w:asciiTheme="majorHAnsi" w:hAnsiTheme="majorHAnsi" w:cstheme="majorHAnsi"/>
              </w:rPr>
              <w:t>Ministarstvo unutrašnjih poslova</w:t>
            </w:r>
          </w:p>
        </w:tc>
        <w:tc>
          <w:tcPr>
            <w:tcW w:w="7456" w:type="dxa"/>
            <w:tcMar>
              <w:top w:w="60" w:type="dxa"/>
              <w:left w:w="60" w:type="dxa"/>
              <w:bottom w:w="60" w:type="dxa"/>
              <w:right w:w="60" w:type="dxa"/>
            </w:tcMar>
          </w:tcPr>
          <w:p w14:paraId="4A422CCB" w14:textId="136DF52C" w:rsidR="007E15DB" w:rsidRPr="00E73840" w:rsidRDefault="00E73840" w:rsidP="00E73840">
            <w:pPr>
              <w:rPr>
                <w:rFonts w:asciiTheme="majorHAnsi" w:hAnsiTheme="majorHAnsi" w:cstheme="majorHAnsi"/>
                <w:sz w:val="22"/>
                <w:lang w:val="it-IT"/>
              </w:rPr>
            </w:pPr>
            <w:r w:rsidRPr="00E73840">
              <w:rPr>
                <w:rFonts w:asciiTheme="majorHAnsi" w:hAnsiTheme="majorHAnsi" w:cstheme="majorHAnsi"/>
                <w:lang w:val="it-IT"/>
              </w:rPr>
              <w:t>Podržava ak</w:t>
            </w:r>
            <w:r>
              <w:rPr>
                <w:rFonts w:asciiTheme="majorHAnsi" w:hAnsiTheme="majorHAnsi" w:cstheme="majorHAnsi"/>
                <w:lang w:val="it-IT"/>
              </w:rPr>
              <w:t xml:space="preserve">tivnosti </w:t>
            </w:r>
            <w:r w:rsidRPr="00E73840">
              <w:rPr>
                <w:rFonts w:asciiTheme="majorHAnsi" w:hAnsiTheme="majorHAnsi" w:cstheme="majorHAnsi"/>
                <w:lang w:val="it-IT"/>
              </w:rPr>
              <w:t>u vezi sa mobilnom vozačkom dozvolom i registracijom stranaca</w:t>
            </w:r>
          </w:p>
        </w:tc>
      </w:tr>
      <w:tr w:rsidR="00386B69" w:rsidRPr="00802EE5" w14:paraId="58036C3B" w14:textId="77777777" w:rsidTr="00386B69">
        <w:trPr>
          <w:cantSplit/>
          <w:jc w:val="center"/>
        </w:trPr>
        <w:tc>
          <w:tcPr>
            <w:tcW w:w="3280" w:type="dxa"/>
            <w:tcMar>
              <w:top w:w="60" w:type="dxa"/>
              <w:left w:w="60" w:type="dxa"/>
              <w:bottom w:w="60" w:type="dxa"/>
              <w:right w:w="60" w:type="dxa"/>
            </w:tcMar>
          </w:tcPr>
          <w:p w14:paraId="62226DD1" w14:textId="2B3005BC" w:rsidR="007E15DB" w:rsidRPr="00E73840" w:rsidRDefault="00E73840" w:rsidP="00AC0E2C">
            <w:pPr>
              <w:rPr>
                <w:rFonts w:asciiTheme="majorHAnsi" w:hAnsiTheme="majorHAnsi" w:cstheme="majorHAnsi"/>
                <w:sz w:val="22"/>
                <w:lang w:val="it-IT"/>
              </w:rPr>
            </w:pPr>
            <w:r w:rsidRPr="00E73840">
              <w:rPr>
                <w:rFonts w:asciiTheme="majorHAnsi" w:hAnsiTheme="majorHAnsi" w:cstheme="majorHAnsi"/>
                <w:lang w:val="it-IT"/>
              </w:rPr>
              <w:t>Republički fond za zdravstveno osiguranje</w:t>
            </w:r>
          </w:p>
        </w:tc>
        <w:tc>
          <w:tcPr>
            <w:tcW w:w="7456" w:type="dxa"/>
            <w:tcMar>
              <w:top w:w="60" w:type="dxa"/>
              <w:left w:w="60" w:type="dxa"/>
              <w:bottom w:w="60" w:type="dxa"/>
              <w:right w:w="60" w:type="dxa"/>
            </w:tcMar>
          </w:tcPr>
          <w:p w14:paraId="5DDBE595" w14:textId="1594B249" w:rsidR="007E15DB" w:rsidRPr="00E73840" w:rsidRDefault="00E73840" w:rsidP="00E73840">
            <w:pPr>
              <w:rPr>
                <w:rFonts w:asciiTheme="majorHAnsi" w:hAnsiTheme="majorHAnsi" w:cstheme="majorHAnsi"/>
                <w:sz w:val="22"/>
                <w:lang w:val="it-IT"/>
              </w:rPr>
            </w:pPr>
            <w:r w:rsidRPr="00E73840">
              <w:rPr>
                <w:rFonts w:asciiTheme="majorHAnsi" w:hAnsiTheme="majorHAnsi" w:cstheme="majorHAnsi"/>
                <w:lang w:val="it-IT"/>
              </w:rPr>
              <w:t>Podržava aktivnosti u vezi sa zakazivanjem zdravstvenih pregleda/usluga.</w:t>
            </w:r>
          </w:p>
        </w:tc>
      </w:tr>
      <w:tr w:rsidR="00386B69" w:rsidRPr="00802EE5" w14:paraId="5E9B4A55" w14:textId="77777777" w:rsidTr="00386B69">
        <w:trPr>
          <w:cantSplit/>
          <w:jc w:val="center"/>
        </w:trPr>
        <w:tc>
          <w:tcPr>
            <w:tcW w:w="3280" w:type="dxa"/>
            <w:tcMar>
              <w:top w:w="60" w:type="dxa"/>
              <w:left w:w="60" w:type="dxa"/>
              <w:bottom w:w="60" w:type="dxa"/>
              <w:right w:w="60" w:type="dxa"/>
            </w:tcMar>
          </w:tcPr>
          <w:p w14:paraId="165BEAE1" w14:textId="2A9856D4" w:rsidR="007E15DB" w:rsidRPr="00E73840" w:rsidRDefault="00E73840" w:rsidP="00AC0E2C">
            <w:pPr>
              <w:rPr>
                <w:rFonts w:asciiTheme="majorHAnsi" w:hAnsiTheme="majorHAnsi" w:cstheme="majorHAnsi"/>
                <w:sz w:val="22"/>
                <w:lang w:val="it-IT"/>
              </w:rPr>
            </w:pPr>
            <w:r w:rsidRPr="00E73840">
              <w:rPr>
                <w:rFonts w:asciiTheme="majorHAnsi" w:hAnsiTheme="majorHAnsi" w:cstheme="majorHAnsi"/>
                <w:lang w:val="it-IT"/>
              </w:rPr>
              <w:t>Ostala resorna ministarstva i agencije</w:t>
            </w:r>
          </w:p>
        </w:tc>
        <w:tc>
          <w:tcPr>
            <w:tcW w:w="7456" w:type="dxa"/>
            <w:tcMar>
              <w:top w:w="60" w:type="dxa"/>
              <w:left w:w="60" w:type="dxa"/>
              <w:bottom w:w="60" w:type="dxa"/>
              <w:right w:w="60" w:type="dxa"/>
            </w:tcMar>
          </w:tcPr>
          <w:p w14:paraId="5F4E6C3D" w14:textId="3836CF82" w:rsidR="007E15DB" w:rsidRPr="00E73840" w:rsidRDefault="00522C67" w:rsidP="00E73840">
            <w:pPr>
              <w:rPr>
                <w:rFonts w:asciiTheme="majorHAnsi" w:hAnsiTheme="majorHAnsi" w:cstheme="majorHAnsi"/>
                <w:sz w:val="22"/>
                <w:lang w:val="it-IT"/>
              </w:rPr>
            </w:pPr>
            <w:r>
              <w:rPr>
                <w:rFonts w:asciiTheme="majorHAnsi" w:hAnsiTheme="majorHAnsi" w:cstheme="majorHAnsi"/>
                <w:lang w:val="it-IT"/>
              </w:rPr>
              <w:t>Sprovode</w:t>
            </w:r>
            <w:r w:rsidR="00E73840" w:rsidRPr="00E73840">
              <w:rPr>
                <w:rFonts w:asciiTheme="majorHAnsi" w:hAnsiTheme="majorHAnsi" w:cstheme="majorHAnsi"/>
                <w:lang w:val="it-IT"/>
              </w:rPr>
              <w:t xml:space="preserve"> aktivnosti u vezi sa uslugama, registrima, platformama ili reformama iz svoje nadležnosti.</w:t>
            </w:r>
          </w:p>
        </w:tc>
      </w:tr>
      <w:tr w:rsidR="00386B69" w:rsidRPr="00386B69" w14:paraId="1181A9CE" w14:textId="77777777" w:rsidTr="00386B69">
        <w:trPr>
          <w:cantSplit/>
          <w:jc w:val="center"/>
        </w:trPr>
        <w:tc>
          <w:tcPr>
            <w:tcW w:w="3280" w:type="dxa"/>
            <w:tcMar>
              <w:top w:w="60" w:type="dxa"/>
              <w:left w:w="60" w:type="dxa"/>
              <w:bottom w:w="60" w:type="dxa"/>
              <w:right w:w="60" w:type="dxa"/>
            </w:tcMar>
          </w:tcPr>
          <w:p w14:paraId="067F877C" w14:textId="6A88F3D0" w:rsidR="007E15DB" w:rsidRPr="00386B69" w:rsidRDefault="00E73840" w:rsidP="00AC0E2C">
            <w:pPr>
              <w:rPr>
                <w:rFonts w:asciiTheme="majorHAnsi" w:hAnsiTheme="majorHAnsi" w:cstheme="majorHAnsi"/>
                <w:sz w:val="22"/>
              </w:rPr>
            </w:pPr>
            <w:r w:rsidRPr="00E73840">
              <w:rPr>
                <w:rFonts w:asciiTheme="majorHAnsi" w:hAnsiTheme="majorHAnsi" w:cstheme="majorHAnsi"/>
              </w:rPr>
              <w:t>Organizacije civilnog društv</w:t>
            </w:r>
            <w:r>
              <w:rPr>
                <w:rFonts w:asciiTheme="majorHAnsi" w:hAnsiTheme="majorHAnsi" w:cstheme="majorHAnsi"/>
              </w:rPr>
              <w:t>a i predstavništva</w:t>
            </w:r>
          </w:p>
        </w:tc>
        <w:tc>
          <w:tcPr>
            <w:tcW w:w="7456" w:type="dxa"/>
            <w:tcMar>
              <w:top w:w="60" w:type="dxa"/>
              <w:left w:w="60" w:type="dxa"/>
              <w:bottom w:w="60" w:type="dxa"/>
              <w:right w:w="60" w:type="dxa"/>
            </w:tcMar>
          </w:tcPr>
          <w:p w14:paraId="657D4309" w14:textId="671123B2" w:rsidR="007E15DB" w:rsidRPr="00386B69" w:rsidRDefault="00E73840" w:rsidP="00AC0E2C">
            <w:pPr>
              <w:rPr>
                <w:rFonts w:asciiTheme="majorHAnsi" w:hAnsiTheme="majorHAnsi" w:cstheme="majorHAnsi"/>
                <w:sz w:val="22"/>
              </w:rPr>
            </w:pPr>
            <w:r w:rsidRPr="00E73840">
              <w:rPr>
                <w:rFonts w:asciiTheme="majorHAnsi" w:hAnsiTheme="majorHAnsi" w:cstheme="majorHAnsi"/>
              </w:rPr>
              <w:t>Podržavaju informisanje i uključivanje ranjivih ili nedovoljno obuhva</w:t>
            </w:r>
            <w:r>
              <w:rPr>
                <w:rFonts w:asciiTheme="majorHAnsi" w:hAnsiTheme="majorHAnsi" w:cstheme="majorHAnsi"/>
              </w:rPr>
              <w:t>ćenih grupa, gde je potrebno</w:t>
            </w:r>
          </w:p>
        </w:tc>
      </w:tr>
      <w:tr w:rsidR="00386B69" w:rsidRPr="00802EE5" w14:paraId="79C753EA" w14:textId="77777777" w:rsidTr="00386B69">
        <w:trPr>
          <w:cantSplit/>
          <w:jc w:val="center"/>
        </w:trPr>
        <w:tc>
          <w:tcPr>
            <w:tcW w:w="3280" w:type="dxa"/>
            <w:tcMar>
              <w:top w:w="60" w:type="dxa"/>
              <w:left w:w="60" w:type="dxa"/>
              <w:bottom w:w="60" w:type="dxa"/>
              <w:right w:w="60" w:type="dxa"/>
            </w:tcMar>
          </w:tcPr>
          <w:p w14:paraId="365C0F24" w14:textId="6AB354A0" w:rsidR="007E15DB" w:rsidRPr="00386B69" w:rsidRDefault="006F2D24" w:rsidP="00AC0E2C">
            <w:pPr>
              <w:rPr>
                <w:rFonts w:asciiTheme="majorHAnsi" w:hAnsiTheme="majorHAnsi" w:cstheme="majorHAnsi"/>
                <w:sz w:val="22"/>
              </w:rPr>
            </w:pPr>
            <w:r>
              <w:rPr>
                <w:rFonts w:asciiTheme="majorHAnsi" w:hAnsiTheme="majorHAnsi" w:cstheme="majorHAnsi"/>
              </w:rPr>
              <w:t>Svetska</w:t>
            </w:r>
            <w:r w:rsidR="001F2244">
              <w:rPr>
                <w:rFonts w:asciiTheme="majorHAnsi" w:hAnsiTheme="majorHAnsi" w:cstheme="majorHAnsi"/>
              </w:rPr>
              <w:t xml:space="preserve"> banka</w:t>
            </w:r>
          </w:p>
        </w:tc>
        <w:tc>
          <w:tcPr>
            <w:tcW w:w="7456" w:type="dxa"/>
            <w:tcMar>
              <w:top w:w="60" w:type="dxa"/>
              <w:left w:w="60" w:type="dxa"/>
              <w:bottom w:w="60" w:type="dxa"/>
              <w:right w:w="60" w:type="dxa"/>
            </w:tcMar>
          </w:tcPr>
          <w:p w14:paraId="04BDA09D" w14:textId="2D24F72D" w:rsidR="007E15DB" w:rsidRPr="001F2244" w:rsidRDefault="001F2244" w:rsidP="00AC0E2C">
            <w:pPr>
              <w:rPr>
                <w:rFonts w:asciiTheme="majorHAnsi" w:hAnsiTheme="majorHAnsi" w:cstheme="majorHAnsi"/>
                <w:sz w:val="22"/>
                <w:lang w:val="it-IT"/>
              </w:rPr>
            </w:pPr>
            <w:r>
              <w:rPr>
                <w:rFonts w:asciiTheme="majorHAnsi" w:hAnsiTheme="majorHAnsi" w:cstheme="majorHAnsi"/>
                <w:lang w:val="it-IT"/>
              </w:rPr>
              <w:t>P</w:t>
            </w:r>
            <w:r w:rsidRPr="001F2244">
              <w:rPr>
                <w:rFonts w:asciiTheme="majorHAnsi" w:hAnsiTheme="majorHAnsi" w:cstheme="majorHAnsi"/>
                <w:lang w:val="it-IT"/>
              </w:rPr>
              <w:t>ruža podršku u implementaciji i prati sprovođenje SEP-a kroz superviziju</w:t>
            </w:r>
          </w:p>
        </w:tc>
      </w:tr>
    </w:tbl>
    <w:p w14:paraId="6EEB30A4" w14:textId="77777777" w:rsidR="007E15DB" w:rsidRPr="001F2244" w:rsidRDefault="007E15DB" w:rsidP="00AC0E2C">
      <w:pPr>
        <w:ind w:left="720" w:right="576"/>
        <w:rPr>
          <w:rFonts w:asciiTheme="majorHAnsi" w:hAnsiTheme="majorHAnsi" w:cstheme="majorHAnsi"/>
          <w:sz w:val="22"/>
          <w:lang w:val="it-IT"/>
        </w:rPr>
      </w:pPr>
    </w:p>
    <w:p w14:paraId="4FB5EE80" w14:textId="4AF844FB" w:rsidR="007E15DB" w:rsidRPr="00386B69" w:rsidRDefault="001F2244" w:rsidP="00611C08">
      <w:pPr>
        <w:pStyle w:val="Heading2"/>
        <w:numPr>
          <w:ilvl w:val="1"/>
          <w:numId w:val="21"/>
        </w:numPr>
        <w:spacing w:before="60" w:after="120"/>
        <w:ind w:right="576"/>
        <w:jc w:val="both"/>
        <w:rPr>
          <w:rFonts w:cstheme="majorHAnsi"/>
          <w:color w:val="auto"/>
          <w:sz w:val="22"/>
          <w:szCs w:val="22"/>
        </w:rPr>
      </w:pPr>
      <w:r>
        <w:rPr>
          <w:rFonts w:eastAsia="Arial" w:cstheme="majorHAnsi"/>
          <w:color w:val="auto"/>
          <w:sz w:val="22"/>
          <w:szCs w:val="22"/>
        </w:rPr>
        <w:t>Procenjeni resursi</w:t>
      </w:r>
    </w:p>
    <w:p w14:paraId="118B8622" w14:textId="1F85A419" w:rsidR="007E15DB" w:rsidRPr="00386B69" w:rsidRDefault="001F2244" w:rsidP="00AC0E2C">
      <w:pPr>
        <w:spacing w:after="120" w:line="252" w:lineRule="auto"/>
        <w:ind w:left="720" w:right="576"/>
        <w:jc w:val="both"/>
        <w:rPr>
          <w:rFonts w:asciiTheme="majorHAnsi" w:hAnsiTheme="majorHAnsi" w:cstheme="majorHAnsi"/>
          <w:sz w:val="22"/>
        </w:rPr>
      </w:pPr>
      <w:r w:rsidRPr="001F2244">
        <w:rPr>
          <w:rFonts w:asciiTheme="majorHAnsi" w:hAnsiTheme="majorHAnsi" w:cstheme="majorHAnsi"/>
          <w:sz w:val="22"/>
        </w:rPr>
        <w:t>Resursi za angažovanje zainteresovanih strana biće finansirani u okviru upravljanja projektom i relevantnih aktivnosti komponenti projekta. Oni mogu obuhvatati troškove izrade komunikacionih materijala, organizacije konsultativnih događaja, mera pristupačnosti, prevođenja ili tumačenja kada je potrebno, sprovođenja anketa, testiranja sa korisnicima, funkcionisanja mehanizma za podnošenje pritužbi (GRM), kampanja informisanja javnosti i podrške ranjivim grupama</w:t>
      </w:r>
      <w:r w:rsidR="00811B0E" w:rsidRPr="00386B69">
        <w:rPr>
          <w:rFonts w:asciiTheme="majorHAnsi" w:hAnsiTheme="majorHAnsi" w:cstheme="majorHAnsi"/>
          <w:sz w:val="22"/>
        </w:rPr>
        <w:t>.</w:t>
      </w:r>
    </w:p>
    <w:tbl>
      <w:tblPr>
        <w:tblStyle w:val="TableGrid"/>
        <w:tblW w:w="5000" w:type="pct"/>
        <w:jc w:val="center"/>
        <w:tblLook w:val="04A0" w:firstRow="1" w:lastRow="0" w:firstColumn="1" w:lastColumn="0" w:noHBand="0" w:noVBand="1"/>
      </w:tblPr>
      <w:tblGrid>
        <w:gridCol w:w="2661"/>
        <w:gridCol w:w="2661"/>
        <w:gridCol w:w="2661"/>
        <w:gridCol w:w="2663"/>
      </w:tblGrid>
      <w:tr w:rsidR="00386B69" w:rsidRPr="00386B69" w14:paraId="6BF4FDD1" w14:textId="77777777">
        <w:trPr>
          <w:cantSplit/>
          <w:tblHeader/>
          <w:jc w:val="center"/>
        </w:trPr>
        <w:tc>
          <w:tcPr>
            <w:tcW w:w="2664" w:type="dxa"/>
            <w:shd w:val="clear" w:color="auto" w:fill="D9EAF7"/>
            <w:tcMar>
              <w:top w:w="60" w:type="dxa"/>
              <w:left w:w="60" w:type="dxa"/>
              <w:bottom w:w="60" w:type="dxa"/>
              <w:right w:w="60" w:type="dxa"/>
            </w:tcMar>
          </w:tcPr>
          <w:p w14:paraId="30A593D4" w14:textId="7DD5423D" w:rsidR="007E15DB" w:rsidRPr="004962FD" w:rsidRDefault="009B3D66" w:rsidP="00AC0E2C">
            <w:pPr>
              <w:rPr>
                <w:rFonts w:asciiTheme="majorHAnsi" w:hAnsiTheme="majorHAnsi" w:cstheme="majorHAnsi"/>
                <w:szCs w:val="20"/>
              </w:rPr>
            </w:pPr>
            <w:r>
              <w:rPr>
                <w:rFonts w:asciiTheme="majorHAnsi" w:hAnsiTheme="majorHAnsi" w:cstheme="majorHAnsi"/>
                <w:b/>
                <w:szCs w:val="20"/>
              </w:rPr>
              <w:t>Stavka</w:t>
            </w:r>
          </w:p>
        </w:tc>
        <w:tc>
          <w:tcPr>
            <w:tcW w:w="2664" w:type="dxa"/>
            <w:shd w:val="clear" w:color="auto" w:fill="D9EAF7"/>
            <w:tcMar>
              <w:top w:w="60" w:type="dxa"/>
              <w:left w:w="60" w:type="dxa"/>
              <w:bottom w:w="60" w:type="dxa"/>
              <w:right w:w="60" w:type="dxa"/>
            </w:tcMar>
          </w:tcPr>
          <w:p w14:paraId="5B24FECF" w14:textId="3CBD88EC" w:rsidR="007E15DB" w:rsidRPr="004962FD" w:rsidRDefault="009B3D66" w:rsidP="00AC0E2C">
            <w:pPr>
              <w:rPr>
                <w:rFonts w:asciiTheme="majorHAnsi" w:hAnsiTheme="majorHAnsi" w:cstheme="majorHAnsi"/>
                <w:szCs w:val="20"/>
              </w:rPr>
            </w:pPr>
            <w:r>
              <w:rPr>
                <w:rFonts w:asciiTheme="majorHAnsi" w:hAnsiTheme="majorHAnsi" w:cstheme="majorHAnsi"/>
                <w:b/>
                <w:szCs w:val="20"/>
              </w:rPr>
              <w:t>Procenjeni trošak</w:t>
            </w:r>
          </w:p>
        </w:tc>
        <w:tc>
          <w:tcPr>
            <w:tcW w:w="2664" w:type="dxa"/>
            <w:shd w:val="clear" w:color="auto" w:fill="D9EAF7"/>
            <w:tcMar>
              <w:top w:w="60" w:type="dxa"/>
              <w:left w:w="60" w:type="dxa"/>
              <w:bottom w:w="60" w:type="dxa"/>
              <w:right w:w="60" w:type="dxa"/>
            </w:tcMar>
          </w:tcPr>
          <w:p w14:paraId="35504063" w14:textId="4B83A328" w:rsidR="007E15DB" w:rsidRPr="004962FD" w:rsidRDefault="00352511" w:rsidP="00AC0E2C">
            <w:pPr>
              <w:rPr>
                <w:rFonts w:asciiTheme="majorHAnsi" w:hAnsiTheme="majorHAnsi" w:cstheme="majorHAnsi"/>
                <w:szCs w:val="20"/>
              </w:rPr>
            </w:pPr>
            <w:r>
              <w:rPr>
                <w:rFonts w:asciiTheme="majorHAnsi" w:hAnsiTheme="majorHAnsi" w:cstheme="majorHAnsi"/>
                <w:b/>
                <w:szCs w:val="20"/>
              </w:rPr>
              <w:t>Nadležni organ</w:t>
            </w:r>
          </w:p>
        </w:tc>
        <w:tc>
          <w:tcPr>
            <w:tcW w:w="2664" w:type="dxa"/>
            <w:shd w:val="clear" w:color="auto" w:fill="D9EAF7"/>
            <w:tcMar>
              <w:top w:w="60" w:type="dxa"/>
              <w:left w:w="60" w:type="dxa"/>
              <w:bottom w:w="60" w:type="dxa"/>
              <w:right w:w="60" w:type="dxa"/>
            </w:tcMar>
          </w:tcPr>
          <w:p w14:paraId="62C2F319" w14:textId="4172B5D2" w:rsidR="007E15DB" w:rsidRPr="004962FD" w:rsidRDefault="009B3D66" w:rsidP="00AC0E2C">
            <w:pPr>
              <w:rPr>
                <w:rFonts w:asciiTheme="majorHAnsi" w:hAnsiTheme="majorHAnsi" w:cstheme="majorHAnsi"/>
                <w:szCs w:val="20"/>
              </w:rPr>
            </w:pPr>
            <w:r>
              <w:rPr>
                <w:rFonts w:asciiTheme="majorHAnsi" w:hAnsiTheme="majorHAnsi" w:cstheme="majorHAnsi"/>
                <w:b/>
                <w:szCs w:val="20"/>
              </w:rPr>
              <w:t>Napomene</w:t>
            </w:r>
          </w:p>
        </w:tc>
      </w:tr>
      <w:tr w:rsidR="00386B69" w:rsidRPr="00802EE5" w14:paraId="1C972A5D" w14:textId="77777777">
        <w:trPr>
          <w:cantSplit/>
          <w:jc w:val="center"/>
        </w:trPr>
        <w:tc>
          <w:tcPr>
            <w:tcW w:w="2664" w:type="dxa"/>
            <w:tcMar>
              <w:top w:w="60" w:type="dxa"/>
              <w:left w:w="60" w:type="dxa"/>
              <w:bottom w:w="60" w:type="dxa"/>
              <w:right w:w="60" w:type="dxa"/>
            </w:tcMar>
          </w:tcPr>
          <w:p w14:paraId="30BA1ECE" w14:textId="483CF153" w:rsidR="007E15DB" w:rsidRPr="009B3D66" w:rsidRDefault="009B3D66" w:rsidP="00AC0E2C">
            <w:pPr>
              <w:rPr>
                <w:rFonts w:asciiTheme="majorHAnsi" w:hAnsiTheme="majorHAnsi" w:cstheme="majorHAnsi"/>
                <w:szCs w:val="20"/>
                <w:lang w:val="it-IT"/>
              </w:rPr>
            </w:pPr>
            <w:r w:rsidRPr="009B3D66">
              <w:rPr>
                <w:rFonts w:asciiTheme="majorHAnsi" w:hAnsiTheme="majorHAnsi" w:cstheme="majorHAnsi"/>
                <w:szCs w:val="20"/>
                <w:lang w:val="it-IT"/>
              </w:rPr>
              <w:t>Materijali za javnu komunikaciju i podizanje svesti</w:t>
            </w:r>
          </w:p>
        </w:tc>
        <w:tc>
          <w:tcPr>
            <w:tcW w:w="2664" w:type="dxa"/>
            <w:tcMar>
              <w:top w:w="60" w:type="dxa"/>
              <w:left w:w="60" w:type="dxa"/>
              <w:bottom w:w="60" w:type="dxa"/>
              <w:right w:w="60" w:type="dxa"/>
            </w:tcMar>
          </w:tcPr>
          <w:p w14:paraId="6F3CA39E" w14:textId="247E17AF"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2664" w:type="dxa"/>
            <w:tcMar>
              <w:top w:w="60" w:type="dxa"/>
              <w:left w:w="60" w:type="dxa"/>
              <w:bottom w:w="60" w:type="dxa"/>
              <w:right w:w="60" w:type="dxa"/>
            </w:tcMar>
          </w:tcPr>
          <w:p w14:paraId="045DDBFD"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1FCD287E" w14:textId="05625559" w:rsidR="007E15DB" w:rsidRPr="009B3D66" w:rsidRDefault="009B3D66" w:rsidP="00AC0E2C">
            <w:pPr>
              <w:rPr>
                <w:rFonts w:asciiTheme="majorHAnsi" w:hAnsiTheme="majorHAnsi" w:cstheme="majorHAnsi"/>
                <w:szCs w:val="20"/>
                <w:lang w:val="it-IT"/>
              </w:rPr>
            </w:pPr>
            <w:r>
              <w:rPr>
                <w:rFonts w:asciiTheme="majorHAnsi" w:hAnsiTheme="majorHAnsi" w:cstheme="majorHAnsi"/>
                <w:szCs w:val="20"/>
                <w:lang w:val="it-IT"/>
              </w:rPr>
              <w:t>U</w:t>
            </w:r>
            <w:r w:rsidRPr="009B3D66">
              <w:rPr>
                <w:rFonts w:asciiTheme="majorHAnsi" w:hAnsiTheme="majorHAnsi" w:cstheme="majorHAnsi"/>
                <w:szCs w:val="20"/>
                <w:lang w:val="it-IT"/>
              </w:rPr>
              <w:t>ključujući informacije o Digitalnom novčaniku i GRM-u</w:t>
            </w:r>
          </w:p>
        </w:tc>
      </w:tr>
      <w:tr w:rsidR="00386B69" w:rsidRPr="00386B69" w14:paraId="6E24C5E1" w14:textId="77777777">
        <w:trPr>
          <w:cantSplit/>
          <w:jc w:val="center"/>
        </w:trPr>
        <w:tc>
          <w:tcPr>
            <w:tcW w:w="2664" w:type="dxa"/>
            <w:tcMar>
              <w:top w:w="60" w:type="dxa"/>
              <w:left w:w="60" w:type="dxa"/>
              <w:bottom w:w="60" w:type="dxa"/>
              <w:right w:w="60" w:type="dxa"/>
            </w:tcMar>
          </w:tcPr>
          <w:p w14:paraId="6E40FB4A" w14:textId="1055BF6B" w:rsidR="007E15DB" w:rsidRPr="009B3D66" w:rsidRDefault="009B3D66" w:rsidP="00AC0E2C">
            <w:pPr>
              <w:rPr>
                <w:rFonts w:asciiTheme="majorHAnsi" w:hAnsiTheme="majorHAnsi" w:cstheme="majorHAnsi"/>
                <w:szCs w:val="20"/>
                <w:lang w:val="it-IT"/>
              </w:rPr>
            </w:pPr>
            <w:r w:rsidRPr="009B3D66">
              <w:rPr>
                <w:rFonts w:asciiTheme="majorHAnsi" w:hAnsiTheme="majorHAnsi" w:cstheme="majorHAnsi"/>
                <w:szCs w:val="20"/>
                <w:lang w:val="it-IT"/>
              </w:rPr>
              <w:t>Konsultativni sastanci, radionice i fokus grupe</w:t>
            </w:r>
          </w:p>
        </w:tc>
        <w:tc>
          <w:tcPr>
            <w:tcW w:w="2664" w:type="dxa"/>
            <w:tcMar>
              <w:top w:w="60" w:type="dxa"/>
              <w:left w:w="60" w:type="dxa"/>
              <w:bottom w:w="60" w:type="dxa"/>
              <w:right w:w="60" w:type="dxa"/>
            </w:tcMar>
          </w:tcPr>
          <w:p w14:paraId="4DF526FD" w14:textId="78E2A1EB"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2664" w:type="dxa"/>
            <w:tcMar>
              <w:top w:w="60" w:type="dxa"/>
              <w:left w:w="60" w:type="dxa"/>
              <w:bottom w:w="60" w:type="dxa"/>
              <w:right w:w="60" w:type="dxa"/>
            </w:tcMar>
          </w:tcPr>
          <w:p w14:paraId="50E5A155"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146B2986" w14:textId="532B7CF9" w:rsidR="007E15DB" w:rsidRPr="004962FD" w:rsidRDefault="009B3D66" w:rsidP="00AC0E2C">
            <w:pPr>
              <w:rPr>
                <w:rFonts w:asciiTheme="majorHAnsi" w:hAnsiTheme="majorHAnsi" w:cstheme="majorHAnsi"/>
                <w:szCs w:val="20"/>
              </w:rPr>
            </w:pPr>
            <w:r w:rsidRPr="009B3D66">
              <w:rPr>
                <w:rFonts w:asciiTheme="majorHAnsi" w:hAnsiTheme="majorHAnsi" w:cstheme="majorHAnsi"/>
                <w:szCs w:val="20"/>
              </w:rPr>
              <w:t>Uključujući ciljano angažovanje ranjivih grupa</w:t>
            </w:r>
          </w:p>
        </w:tc>
      </w:tr>
      <w:tr w:rsidR="00386B69" w:rsidRPr="00802EE5" w14:paraId="717BE23C" w14:textId="77777777">
        <w:trPr>
          <w:cantSplit/>
          <w:jc w:val="center"/>
        </w:trPr>
        <w:tc>
          <w:tcPr>
            <w:tcW w:w="2664" w:type="dxa"/>
            <w:tcMar>
              <w:top w:w="60" w:type="dxa"/>
              <w:left w:w="60" w:type="dxa"/>
              <w:bottom w:w="60" w:type="dxa"/>
              <w:right w:w="60" w:type="dxa"/>
            </w:tcMar>
          </w:tcPr>
          <w:p w14:paraId="13C83E87" w14:textId="5EB42B70" w:rsidR="007E15DB" w:rsidRPr="004962FD" w:rsidRDefault="009B3D66" w:rsidP="00AC0E2C">
            <w:pPr>
              <w:rPr>
                <w:rFonts w:asciiTheme="majorHAnsi" w:hAnsiTheme="majorHAnsi" w:cstheme="majorHAnsi"/>
                <w:szCs w:val="20"/>
              </w:rPr>
            </w:pPr>
            <w:r w:rsidRPr="009B3D66">
              <w:rPr>
                <w:rFonts w:asciiTheme="majorHAnsi" w:hAnsiTheme="majorHAnsi" w:cstheme="majorHAnsi"/>
                <w:szCs w:val="20"/>
              </w:rPr>
              <w:t>Mere pristupačnosti</w:t>
            </w:r>
          </w:p>
        </w:tc>
        <w:tc>
          <w:tcPr>
            <w:tcW w:w="2664" w:type="dxa"/>
            <w:tcMar>
              <w:top w:w="60" w:type="dxa"/>
              <w:left w:w="60" w:type="dxa"/>
              <w:bottom w:w="60" w:type="dxa"/>
              <w:right w:w="60" w:type="dxa"/>
            </w:tcMar>
          </w:tcPr>
          <w:p w14:paraId="04138934" w14:textId="08F24722"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2664" w:type="dxa"/>
            <w:tcMar>
              <w:top w:w="60" w:type="dxa"/>
              <w:left w:w="60" w:type="dxa"/>
              <w:bottom w:w="60" w:type="dxa"/>
              <w:right w:w="60" w:type="dxa"/>
            </w:tcMar>
          </w:tcPr>
          <w:p w14:paraId="7C83404A"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5246641F" w14:textId="3A729839" w:rsidR="007E15DB" w:rsidRPr="009B3D66" w:rsidRDefault="009B3D66" w:rsidP="00AC0E2C">
            <w:pPr>
              <w:rPr>
                <w:rFonts w:asciiTheme="majorHAnsi" w:hAnsiTheme="majorHAnsi" w:cstheme="majorHAnsi"/>
                <w:szCs w:val="20"/>
                <w:lang w:val="it-IT"/>
              </w:rPr>
            </w:pPr>
            <w:r w:rsidRPr="009B3D66">
              <w:rPr>
                <w:rFonts w:asciiTheme="majorHAnsi" w:hAnsiTheme="majorHAnsi" w:cstheme="majorHAnsi"/>
                <w:szCs w:val="20"/>
                <w:lang w:val="it-IT"/>
              </w:rPr>
              <w:t>Pristupačni formati, tumačenje/prevođenje, asistirani kanali</w:t>
            </w:r>
          </w:p>
        </w:tc>
      </w:tr>
      <w:tr w:rsidR="00386B69" w:rsidRPr="00802EE5" w14:paraId="1262472E" w14:textId="77777777">
        <w:trPr>
          <w:cantSplit/>
          <w:jc w:val="center"/>
        </w:trPr>
        <w:tc>
          <w:tcPr>
            <w:tcW w:w="2664" w:type="dxa"/>
            <w:tcMar>
              <w:top w:w="60" w:type="dxa"/>
              <w:left w:w="60" w:type="dxa"/>
              <w:bottom w:w="60" w:type="dxa"/>
              <w:right w:w="60" w:type="dxa"/>
            </w:tcMar>
          </w:tcPr>
          <w:p w14:paraId="38A303FE" w14:textId="004E17A5" w:rsidR="007E15DB" w:rsidRPr="009B3D66" w:rsidRDefault="009B3D66" w:rsidP="00AC0E2C">
            <w:pPr>
              <w:rPr>
                <w:rFonts w:asciiTheme="majorHAnsi" w:hAnsiTheme="majorHAnsi" w:cstheme="majorHAnsi"/>
                <w:szCs w:val="20"/>
                <w:lang w:val="it-IT"/>
              </w:rPr>
            </w:pPr>
            <w:r w:rsidRPr="009B3D66">
              <w:rPr>
                <w:rFonts w:asciiTheme="majorHAnsi" w:hAnsiTheme="majorHAnsi" w:cstheme="majorHAnsi"/>
                <w:szCs w:val="20"/>
                <w:lang w:val="it-IT"/>
              </w:rPr>
              <w:t>Ankete o korisničkim povratnim informacijama i testiranje upotrebljivosti</w:t>
            </w:r>
          </w:p>
        </w:tc>
        <w:tc>
          <w:tcPr>
            <w:tcW w:w="2664" w:type="dxa"/>
            <w:tcMar>
              <w:top w:w="60" w:type="dxa"/>
              <w:left w:w="60" w:type="dxa"/>
              <w:bottom w:w="60" w:type="dxa"/>
              <w:right w:w="60" w:type="dxa"/>
            </w:tcMar>
          </w:tcPr>
          <w:p w14:paraId="60DD0C33" w14:textId="608F9E8F"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2664" w:type="dxa"/>
            <w:tcMar>
              <w:top w:w="60" w:type="dxa"/>
              <w:left w:w="60" w:type="dxa"/>
              <w:bottom w:w="60" w:type="dxa"/>
              <w:right w:w="60" w:type="dxa"/>
            </w:tcMar>
          </w:tcPr>
          <w:p w14:paraId="1B29F41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33850D76" w14:textId="402614A1" w:rsidR="007E15DB" w:rsidRPr="009B3D66" w:rsidRDefault="009B3D66" w:rsidP="00AC0E2C">
            <w:pPr>
              <w:rPr>
                <w:rFonts w:asciiTheme="majorHAnsi" w:hAnsiTheme="majorHAnsi" w:cstheme="majorHAnsi"/>
                <w:szCs w:val="20"/>
                <w:lang w:val="it-IT"/>
              </w:rPr>
            </w:pPr>
            <w:r w:rsidRPr="009B3D66">
              <w:rPr>
                <w:rFonts w:asciiTheme="majorHAnsi" w:hAnsiTheme="majorHAnsi" w:cstheme="majorHAnsi"/>
                <w:szCs w:val="20"/>
                <w:lang w:val="it-IT"/>
              </w:rPr>
              <w:t>Povezano sa dizajnom usluga i uvođenjem Digitalnog novčanika</w:t>
            </w:r>
          </w:p>
        </w:tc>
      </w:tr>
      <w:tr w:rsidR="00386B69" w:rsidRPr="00386B69" w14:paraId="4DC2C9BE" w14:textId="77777777">
        <w:trPr>
          <w:cantSplit/>
          <w:jc w:val="center"/>
        </w:trPr>
        <w:tc>
          <w:tcPr>
            <w:tcW w:w="2664" w:type="dxa"/>
            <w:tcMar>
              <w:top w:w="60" w:type="dxa"/>
              <w:left w:w="60" w:type="dxa"/>
              <w:bottom w:w="60" w:type="dxa"/>
              <w:right w:w="60" w:type="dxa"/>
            </w:tcMar>
          </w:tcPr>
          <w:p w14:paraId="5F5164FC" w14:textId="209D57ED" w:rsidR="007E15DB" w:rsidRPr="009B3D66" w:rsidRDefault="009B3D66" w:rsidP="00AC0E2C">
            <w:pPr>
              <w:rPr>
                <w:rFonts w:asciiTheme="majorHAnsi" w:hAnsiTheme="majorHAnsi" w:cstheme="majorHAnsi"/>
                <w:szCs w:val="20"/>
                <w:lang w:val="it-IT"/>
              </w:rPr>
            </w:pPr>
            <w:r>
              <w:rPr>
                <w:rFonts w:asciiTheme="majorHAnsi" w:hAnsiTheme="majorHAnsi" w:cstheme="majorHAnsi"/>
                <w:szCs w:val="20"/>
                <w:lang w:val="it-IT"/>
              </w:rPr>
              <w:t>F</w:t>
            </w:r>
            <w:r w:rsidRPr="009B3D66">
              <w:rPr>
                <w:rFonts w:asciiTheme="majorHAnsi" w:hAnsiTheme="majorHAnsi" w:cstheme="majorHAnsi"/>
                <w:szCs w:val="20"/>
                <w:lang w:val="it-IT"/>
              </w:rPr>
              <w:t>unkcionisanje GRM-a i izveštavanje</w:t>
            </w:r>
          </w:p>
        </w:tc>
        <w:tc>
          <w:tcPr>
            <w:tcW w:w="2664" w:type="dxa"/>
            <w:tcMar>
              <w:top w:w="60" w:type="dxa"/>
              <w:left w:w="60" w:type="dxa"/>
              <w:bottom w:w="60" w:type="dxa"/>
              <w:right w:w="60" w:type="dxa"/>
            </w:tcMar>
          </w:tcPr>
          <w:p w14:paraId="509BF701" w14:textId="04321309"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2664" w:type="dxa"/>
            <w:tcMar>
              <w:top w:w="60" w:type="dxa"/>
              <w:left w:w="60" w:type="dxa"/>
              <w:bottom w:w="60" w:type="dxa"/>
              <w:right w:w="60" w:type="dxa"/>
            </w:tcMar>
          </w:tcPr>
          <w:p w14:paraId="0A5FCAF1"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17F93068" w14:textId="1AEFDF57" w:rsidR="007E15DB" w:rsidRPr="004962FD" w:rsidRDefault="009B3D66" w:rsidP="00AC0E2C">
            <w:pPr>
              <w:rPr>
                <w:rFonts w:asciiTheme="majorHAnsi" w:hAnsiTheme="majorHAnsi" w:cstheme="majorHAnsi"/>
                <w:szCs w:val="20"/>
              </w:rPr>
            </w:pPr>
            <w:r w:rsidRPr="009B3D66">
              <w:rPr>
                <w:rFonts w:asciiTheme="majorHAnsi" w:hAnsiTheme="majorHAnsi" w:cstheme="majorHAnsi"/>
                <w:szCs w:val="20"/>
              </w:rPr>
              <w:t>Vreme zaposlenih, baza podataka/evidencija, komunikacija</w:t>
            </w:r>
          </w:p>
        </w:tc>
      </w:tr>
      <w:tr w:rsidR="00386B69" w:rsidRPr="00802EE5" w14:paraId="3F6B6E86" w14:textId="77777777">
        <w:trPr>
          <w:cantSplit/>
          <w:jc w:val="center"/>
        </w:trPr>
        <w:tc>
          <w:tcPr>
            <w:tcW w:w="2664" w:type="dxa"/>
            <w:tcMar>
              <w:top w:w="60" w:type="dxa"/>
              <w:left w:w="60" w:type="dxa"/>
              <w:bottom w:w="60" w:type="dxa"/>
              <w:right w:w="60" w:type="dxa"/>
            </w:tcMar>
          </w:tcPr>
          <w:p w14:paraId="44C24E32" w14:textId="6DD2401B" w:rsidR="007E15DB" w:rsidRPr="004962FD" w:rsidRDefault="00811B0E" w:rsidP="009B3D66">
            <w:pPr>
              <w:rPr>
                <w:rFonts w:asciiTheme="majorHAnsi" w:hAnsiTheme="majorHAnsi" w:cstheme="majorHAnsi"/>
                <w:szCs w:val="20"/>
              </w:rPr>
            </w:pPr>
            <w:r w:rsidRPr="004962FD">
              <w:rPr>
                <w:rFonts w:asciiTheme="majorHAnsi" w:hAnsiTheme="majorHAnsi" w:cstheme="majorHAnsi"/>
                <w:szCs w:val="20"/>
              </w:rPr>
              <w:t xml:space="preserve">Monitoring </w:t>
            </w:r>
            <w:r w:rsidR="009B3D66">
              <w:rPr>
                <w:rFonts w:asciiTheme="majorHAnsi" w:hAnsiTheme="majorHAnsi" w:cstheme="majorHAnsi"/>
                <w:szCs w:val="20"/>
              </w:rPr>
              <w:t>i izveštavanje</w:t>
            </w:r>
          </w:p>
        </w:tc>
        <w:tc>
          <w:tcPr>
            <w:tcW w:w="2664" w:type="dxa"/>
            <w:tcMar>
              <w:top w:w="60" w:type="dxa"/>
              <w:left w:w="60" w:type="dxa"/>
              <w:bottom w:w="60" w:type="dxa"/>
              <w:right w:w="60" w:type="dxa"/>
            </w:tcMar>
          </w:tcPr>
          <w:p w14:paraId="6D3EBBA3" w14:textId="47EA8812"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2664" w:type="dxa"/>
            <w:tcMar>
              <w:top w:w="60" w:type="dxa"/>
              <w:left w:w="60" w:type="dxa"/>
              <w:bottom w:w="60" w:type="dxa"/>
              <w:right w:w="60" w:type="dxa"/>
            </w:tcMar>
          </w:tcPr>
          <w:p w14:paraId="1AB15680"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c>
          <w:tcPr>
            <w:tcW w:w="2664" w:type="dxa"/>
            <w:tcMar>
              <w:top w:w="60" w:type="dxa"/>
              <w:left w:w="60" w:type="dxa"/>
              <w:bottom w:w="60" w:type="dxa"/>
              <w:right w:w="60" w:type="dxa"/>
            </w:tcMar>
          </w:tcPr>
          <w:p w14:paraId="205030C3" w14:textId="73996BAD" w:rsidR="007E15DB" w:rsidRPr="009B3D66" w:rsidRDefault="009B3D66" w:rsidP="00AC0E2C">
            <w:pPr>
              <w:rPr>
                <w:rFonts w:asciiTheme="majorHAnsi" w:hAnsiTheme="majorHAnsi" w:cstheme="majorHAnsi"/>
                <w:szCs w:val="20"/>
                <w:lang w:val="it-IT"/>
              </w:rPr>
            </w:pPr>
            <w:r w:rsidRPr="009B3D66">
              <w:rPr>
                <w:rFonts w:asciiTheme="majorHAnsi" w:hAnsiTheme="majorHAnsi" w:cstheme="majorHAnsi"/>
                <w:szCs w:val="20"/>
                <w:lang w:val="it-IT"/>
              </w:rPr>
              <w:t>Indikatori SEP-a i izveštavanje zainteresovanim stranama</w:t>
            </w:r>
          </w:p>
        </w:tc>
      </w:tr>
    </w:tbl>
    <w:p w14:paraId="177BE1AD" w14:textId="77777777" w:rsidR="007E15DB" w:rsidRPr="009B3D66" w:rsidRDefault="007E15DB" w:rsidP="00AC0E2C">
      <w:pPr>
        <w:ind w:left="720" w:right="576"/>
        <w:rPr>
          <w:rFonts w:asciiTheme="majorHAnsi" w:hAnsiTheme="majorHAnsi" w:cstheme="majorHAnsi"/>
          <w:sz w:val="22"/>
          <w:lang w:val="it-IT"/>
        </w:rPr>
      </w:pPr>
    </w:p>
    <w:p w14:paraId="2E6BB27E" w14:textId="5B2E3FD7" w:rsidR="007E15DB" w:rsidRPr="00611C08" w:rsidRDefault="009B3D66" w:rsidP="00611C08">
      <w:pPr>
        <w:pStyle w:val="ListParagraph"/>
        <w:numPr>
          <w:ilvl w:val="2"/>
          <w:numId w:val="20"/>
        </w:numPr>
        <w:ind w:right="576"/>
        <w:rPr>
          <w:rFonts w:asciiTheme="majorHAnsi" w:hAnsiTheme="majorHAnsi" w:cstheme="majorHAnsi"/>
          <w:b/>
          <w:bCs/>
          <w:sz w:val="22"/>
        </w:rPr>
      </w:pPr>
      <w:r>
        <w:rPr>
          <w:rFonts w:asciiTheme="majorHAnsi" w:hAnsiTheme="majorHAnsi" w:cstheme="majorHAnsi"/>
          <w:b/>
          <w:bCs/>
          <w:sz w:val="22"/>
        </w:rPr>
        <w:t>Mehanizam za rešavanje pritužbi</w:t>
      </w:r>
    </w:p>
    <w:p w14:paraId="74AB6A68" w14:textId="54C9A9EC" w:rsidR="007E15DB" w:rsidRPr="00386B69" w:rsidRDefault="00B3390B" w:rsidP="00611C08">
      <w:pPr>
        <w:pStyle w:val="Heading2"/>
        <w:numPr>
          <w:ilvl w:val="1"/>
          <w:numId w:val="22"/>
        </w:numPr>
        <w:spacing w:before="60" w:after="120"/>
        <w:ind w:right="576"/>
        <w:jc w:val="both"/>
        <w:rPr>
          <w:rFonts w:cstheme="majorHAnsi"/>
          <w:color w:val="auto"/>
          <w:sz w:val="22"/>
          <w:szCs w:val="22"/>
        </w:rPr>
      </w:pPr>
      <w:r>
        <w:rPr>
          <w:rFonts w:eastAsia="Arial" w:cstheme="majorHAnsi"/>
          <w:color w:val="auto"/>
          <w:sz w:val="22"/>
          <w:szCs w:val="22"/>
        </w:rPr>
        <w:lastRenderedPageBreak/>
        <w:t>Ciljevi i obuhvat</w:t>
      </w:r>
    </w:p>
    <w:p w14:paraId="6F1E016D" w14:textId="71A8EBBB" w:rsidR="007E15DB" w:rsidRPr="00386B69" w:rsidRDefault="00B3390B" w:rsidP="00AC0E2C">
      <w:pPr>
        <w:spacing w:after="120" w:line="252" w:lineRule="auto"/>
        <w:ind w:left="720" w:right="576"/>
        <w:jc w:val="both"/>
        <w:rPr>
          <w:rFonts w:asciiTheme="majorHAnsi" w:hAnsiTheme="majorHAnsi" w:cstheme="majorHAnsi"/>
          <w:sz w:val="22"/>
        </w:rPr>
      </w:pPr>
      <w:r w:rsidRPr="00B3390B">
        <w:rPr>
          <w:rFonts w:asciiTheme="majorHAnsi" w:hAnsiTheme="majorHAnsi" w:cstheme="majorHAnsi"/>
          <w:sz w:val="22"/>
        </w:rPr>
        <w:t>U okviru projekta biće uspostavljen i održavan Mehanizam za rešavanje pritužbi (GRM) radi prijema i omogućavanja rešavanja zabrinutosti, pritužbi, pitanja i predloga u vezi sa SERVIS-om. GRM će biti proporcionalan niskom E&amp;S nivou rizika projekta, ali operativno osposobljen da rešava pitanja koja se odnose na digitalne usluge, pristup Digitalnom novčaniku, zaštitu podataka, pristupačnost, sajber bezbednost, usluge zasnovane na veštačkoj inteligenciji i angažovanje zainteresovanih strana</w:t>
      </w:r>
      <w:r w:rsidR="00811B0E" w:rsidRPr="00386B69">
        <w:rPr>
          <w:rFonts w:asciiTheme="majorHAnsi" w:hAnsiTheme="majorHAnsi" w:cstheme="majorHAnsi"/>
          <w:sz w:val="22"/>
        </w:rPr>
        <w:t>.</w:t>
      </w:r>
    </w:p>
    <w:p w14:paraId="6D29B74B" w14:textId="72052051" w:rsidR="007E15DB" w:rsidRPr="00386B69" w:rsidRDefault="00B3390B" w:rsidP="00AC0E2C">
      <w:pPr>
        <w:spacing w:after="120" w:line="252" w:lineRule="auto"/>
        <w:ind w:left="720" w:right="576"/>
        <w:jc w:val="both"/>
        <w:rPr>
          <w:rFonts w:asciiTheme="majorHAnsi" w:hAnsiTheme="majorHAnsi" w:cstheme="majorHAnsi"/>
          <w:sz w:val="22"/>
        </w:rPr>
      </w:pPr>
      <w:r>
        <w:rPr>
          <w:rFonts w:asciiTheme="majorHAnsi" w:hAnsiTheme="majorHAnsi" w:cstheme="majorHAnsi"/>
          <w:sz w:val="22"/>
        </w:rPr>
        <w:t>GRM ima cilj da</w:t>
      </w:r>
      <w:r w:rsidR="00811B0E" w:rsidRPr="00386B69">
        <w:rPr>
          <w:rFonts w:asciiTheme="majorHAnsi" w:hAnsiTheme="majorHAnsi" w:cstheme="majorHAnsi"/>
          <w:sz w:val="22"/>
        </w:rPr>
        <w:t>:</w:t>
      </w:r>
    </w:p>
    <w:p w14:paraId="7469AC75" w14:textId="49AB4A84" w:rsidR="007E15DB" w:rsidRPr="00B3390B" w:rsidRDefault="00B3390B" w:rsidP="00AC0E2C">
      <w:pPr>
        <w:pStyle w:val="ListBullet"/>
        <w:spacing w:after="120" w:line="252" w:lineRule="auto"/>
        <w:ind w:left="720" w:right="576"/>
        <w:jc w:val="both"/>
        <w:rPr>
          <w:rFonts w:asciiTheme="majorHAnsi" w:hAnsiTheme="majorHAnsi" w:cstheme="majorHAnsi"/>
          <w:sz w:val="22"/>
          <w:lang w:val="it-IT"/>
        </w:rPr>
      </w:pPr>
      <w:r w:rsidRPr="00993265">
        <w:rPr>
          <w:rFonts w:asciiTheme="majorHAnsi" w:hAnsiTheme="majorHAnsi" w:cstheme="majorHAnsi"/>
          <w:sz w:val="22"/>
          <w:lang w:val="it-IT"/>
        </w:rPr>
        <w:t>o</w:t>
      </w:r>
      <w:r w:rsidRPr="00B3390B">
        <w:rPr>
          <w:rFonts w:asciiTheme="majorHAnsi" w:hAnsiTheme="majorHAnsi" w:cstheme="majorHAnsi"/>
          <w:sz w:val="22"/>
          <w:lang w:val="it-IT"/>
        </w:rPr>
        <w:t>bezbedi pristupačne kanale putem kojih zainteresovane strane mogu podnositi pritužbe ili dostavljati povratne informacije</w:t>
      </w:r>
      <w:r w:rsidR="00811B0E" w:rsidRPr="00B3390B">
        <w:rPr>
          <w:rFonts w:asciiTheme="majorHAnsi" w:hAnsiTheme="majorHAnsi" w:cstheme="majorHAnsi"/>
          <w:sz w:val="22"/>
          <w:lang w:val="it-IT"/>
        </w:rPr>
        <w:t>;</w:t>
      </w:r>
    </w:p>
    <w:p w14:paraId="1509FA38" w14:textId="63E8FA5D" w:rsidR="007E15DB" w:rsidRPr="00993265" w:rsidRDefault="00993265" w:rsidP="00AC0E2C">
      <w:pPr>
        <w:pStyle w:val="ListBullet"/>
        <w:spacing w:after="120" w:line="252" w:lineRule="auto"/>
        <w:ind w:left="720" w:right="576"/>
        <w:jc w:val="both"/>
        <w:rPr>
          <w:rFonts w:asciiTheme="majorHAnsi" w:hAnsiTheme="majorHAnsi" w:cstheme="majorHAnsi"/>
          <w:sz w:val="22"/>
          <w:lang w:val="it-IT"/>
        </w:rPr>
      </w:pPr>
      <w:r w:rsidRPr="00993265">
        <w:rPr>
          <w:rFonts w:asciiTheme="majorHAnsi" w:hAnsiTheme="majorHAnsi" w:cstheme="majorHAnsi"/>
          <w:sz w:val="22"/>
          <w:lang w:val="it-IT"/>
        </w:rPr>
        <w:t>osigura blagovremenu potvrdu prijema, procenu i odgovor na podnete pritužbe;</w:t>
      </w:r>
      <w:r w:rsidR="00811B0E" w:rsidRPr="00993265">
        <w:rPr>
          <w:rFonts w:asciiTheme="majorHAnsi" w:hAnsiTheme="majorHAnsi" w:cstheme="majorHAnsi"/>
          <w:sz w:val="22"/>
          <w:lang w:val="it-IT"/>
        </w:rPr>
        <w:t>;</w:t>
      </w:r>
    </w:p>
    <w:p w14:paraId="3AD0F79B" w14:textId="09BA52AA" w:rsidR="007E15DB" w:rsidRPr="00993265" w:rsidRDefault="00993265" w:rsidP="00AC0E2C">
      <w:pPr>
        <w:pStyle w:val="ListBullet"/>
        <w:spacing w:after="120" w:line="252" w:lineRule="auto"/>
        <w:ind w:left="720" w:right="576"/>
        <w:jc w:val="both"/>
        <w:rPr>
          <w:rFonts w:asciiTheme="majorHAnsi" w:hAnsiTheme="majorHAnsi" w:cstheme="majorHAnsi"/>
          <w:sz w:val="22"/>
          <w:lang w:val="it-IT"/>
        </w:rPr>
      </w:pPr>
      <w:r w:rsidRPr="00993265">
        <w:rPr>
          <w:rFonts w:asciiTheme="majorHAnsi" w:hAnsiTheme="majorHAnsi" w:cstheme="majorHAnsi"/>
          <w:sz w:val="22"/>
          <w:lang w:val="it-IT"/>
        </w:rPr>
        <w:t>omogući korisnicima da prijave probleme u vezi sa pristupom, upotrebljivošću, kvalitetom usluga, privatnošću ili percipiranim negativnim posledicama</w:t>
      </w:r>
    </w:p>
    <w:p w14:paraId="7DB7D729" w14:textId="15D29D29" w:rsidR="007E15DB" w:rsidRPr="00AB166A" w:rsidRDefault="00AB166A"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i</w:t>
      </w:r>
      <w:r w:rsidRPr="00AB166A">
        <w:rPr>
          <w:rFonts w:asciiTheme="majorHAnsi" w:hAnsiTheme="majorHAnsi" w:cstheme="majorHAnsi"/>
          <w:sz w:val="22"/>
          <w:lang w:val="it-IT"/>
        </w:rPr>
        <w:t>dentifikuje probleme</w:t>
      </w:r>
      <w:r>
        <w:rPr>
          <w:rFonts w:asciiTheme="majorHAnsi" w:hAnsiTheme="majorHAnsi" w:cstheme="majorHAnsi"/>
          <w:sz w:val="22"/>
          <w:lang w:val="it-IT"/>
        </w:rPr>
        <w:t xml:space="preserve"> koji se ponavljaju</w:t>
      </w:r>
      <w:r w:rsidRPr="00AB166A">
        <w:rPr>
          <w:rFonts w:asciiTheme="majorHAnsi" w:hAnsiTheme="majorHAnsi" w:cstheme="majorHAnsi"/>
          <w:sz w:val="22"/>
          <w:lang w:val="it-IT"/>
        </w:rPr>
        <w:t xml:space="preserve"> i podrži unapređenje usluga podržanih projektom</w:t>
      </w:r>
      <w:r w:rsidR="00811B0E" w:rsidRPr="00AB166A">
        <w:rPr>
          <w:rFonts w:asciiTheme="majorHAnsi" w:hAnsiTheme="majorHAnsi" w:cstheme="majorHAnsi"/>
          <w:sz w:val="22"/>
          <w:lang w:val="it-IT"/>
        </w:rPr>
        <w:t xml:space="preserve">; </w:t>
      </w:r>
      <w:r>
        <w:rPr>
          <w:rFonts w:asciiTheme="majorHAnsi" w:hAnsiTheme="majorHAnsi" w:cstheme="majorHAnsi"/>
          <w:sz w:val="22"/>
          <w:lang w:val="it-IT"/>
        </w:rPr>
        <w:t>i</w:t>
      </w:r>
    </w:p>
    <w:p w14:paraId="10C648A4" w14:textId="3BFA2662" w:rsidR="007E15DB" w:rsidRPr="000E1A6D" w:rsidRDefault="00AB166A" w:rsidP="00AC0E2C">
      <w:pPr>
        <w:pStyle w:val="ListBullet"/>
        <w:spacing w:after="120" w:line="252" w:lineRule="auto"/>
        <w:ind w:left="720" w:right="576"/>
        <w:jc w:val="both"/>
        <w:rPr>
          <w:rFonts w:asciiTheme="majorHAnsi" w:hAnsiTheme="majorHAnsi" w:cstheme="majorHAnsi"/>
          <w:sz w:val="22"/>
          <w:lang w:val="it-IT"/>
        </w:rPr>
      </w:pPr>
      <w:r w:rsidRPr="000E1A6D">
        <w:rPr>
          <w:rFonts w:asciiTheme="majorHAnsi" w:hAnsiTheme="majorHAnsi" w:cstheme="majorHAnsi"/>
          <w:sz w:val="22"/>
          <w:lang w:val="it-IT"/>
        </w:rPr>
        <w:t>dokumentuje i izveštava o postupanju po pritužbama</w:t>
      </w:r>
      <w:r w:rsidR="00811B0E" w:rsidRPr="000E1A6D">
        <w:rPr>
          <w:rFonts w:asciiTheme="majorHAnsi" w:hAnsiTheme="majorHAnsi" w:cstheme="majorHAnsi"/>
          <w:sz w:val="22"/>
          <w:lang w:val="it-IT"/>
        </w:rPr>
        <w:t>.</w:t>
      </w:r>
    </w:p>
    <w:p w14:paraId="42DBD7FD" w14:textId="28A3F295" w:rsidR="000E1A6D" w:rsidRPr="000E1A6D" w:rsidRDefault="000E1A6D" w:rsidP="000E1A6D">
      <w:pPr>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GRM ne mo</w:t>
      </w:r>
      <w:r>
        <w:rPr>
          <w:rFonts w:asciiTheme="majorHAnsi" w:hAnsiTheme="majorHAnsi" w:cstheme="majorHAnsi"/>
          <w:sz w:val="22"/>
          <w:lang w:val="sr-Latn-RS"/>
        </w:rPr>
        <w:t>že da</w:t>
      </w:r>
      <w:r>
        <w:rPr>
          <w:rFonts w:asciiTheme="majorHAnsi" w:hAnsiTheme="majorHAnsi" w:cstheme="majorHAnsi"/>
          <w:sz w:val="22"/>
          <w:lang w:val="it-IT"/>
        </w:rPr>
        <w:t xml:space="preserve"> zameni</w:t>
      </w:r>
      <w:r w:rsidRPr="000E1A6D">
        <w:rPr>
          <w:rFonts w:asciiTheme="majorHAnsi" w:hAnsiTheme="majorHAnsi" w:cstheme="majorHAnsi"/>
          <w:sz w:val="22"/>
          <w:lang w:val="it-IT"/>
        </w:rPr>
        <w:t xml:space="preserve"> pravna ili administrativna sredstva zaštite dostupna u skladu sa zakonodavstvom Republike Srbije, niti </w:t>
      </w:r>
      <w:r>
        <w:rPr>
          <w:rFonts w:asciiTheme="majorHAnsi" w:hAnsiTheme="majorHAnsi" w:cstheme="majorHAnsi"/>
          <w:sz w:val="22"/>
          <w:lang w:val="it-IT"/>
        </w:rPr>
        <w:t>može da spreči</w:t>
      </w:r>
      <w:r w:rsidRPr="000E1A6D">
        <w:rPr>
          <w:rFonts w:asciiTheme="majorHAnsi" w:hAnsiTheme="majorHAnsi" w:cstheme="majorHAnsi"/>
          <w:sz w:val="22"/>
          <w:lang w:val="it-IT"/>
        </w:rPr>
        <w:t xml:space="preserve"> zainteresovane strane da koriste druge mehanizme z</w:t>
      </w:r>
      <w:r>
        <w:rPr>
          <w:rFonts w:asciiTheme="majorHAnsi" w:hAnsiTheme="majorHAnsi" w:cstheme="majorHAnsi"/>
          <w:sz w:val="22"/>
          <w:lang w:val="it-IT"/>
        </w:rPr>
        <w:t>a podnošenje pritužbi ili žalbi.</w:t>
      </w:r>
    </w:p>
    <w:p w14:paraId="21DD8216" w14:textId="5040F630" w:rsidR="007E15DB" w:rsidRPr="004F7BD6" w:rsidRDefault="007E15DB" w:rsidP="00AC0E2C">
      <w:pPr>
        <w:spacing w:after="120" w:line="252" w:lineRule="auto"/>
        <w:ind w:left="720" w:right="576"/>
        <w:jc w:val="both"/>
        <w:rPr>
          <w:rFonts w:asciiTheme="majorHAnsi" w:hAnsiTheme="majorHAnsi" w:cstheme="majorHAnsi"/>
          <w:sz w:val="22"/>
          <w:lang w:val="it-IT"/>
        </w:rPr>
      </w:pPr>
    </w:p>
    <w:p w14:paraId="49D45CE9" w14:textId="56B3E0A3" w:rsidR="007E15DB" w:rsidRPr="00386B69" w:rsidRDefault="008C4056" w:rsidP="00611C08">
      <w:pPr>
        <w:pStyle w:val="Heading2"/>
        <w:numPr>
          <w:ilvl w:val="1"/>
          <w:numId w:val="22"/>
        </w:numPr>
        <w:spacing w:before="60" w:after="120"/>
        <w:ind w:right="576"/>
        <w:jc w:val="both"/>
        <w:rPr>
          <w:rFonts w:cstheme="majorHAnsi"/>
          <w:color w:val="auto"/>
          <w:sz w:val="22"/>
          <w:szCs w:val="22"/>
        </w:rPr>
      </w:pPr>
      <w:r>
        <w:rPr>
          <w:rFonts w:eastAsia="Arial" w:cstheme="majorHAnsi"/>
          <w:color w:val="auto"/>
          <w:sz w:val="22"/>
          <w:szCs w:val="22"/>
        </w:rPr>
        <w:t>Načini podnošenja pritužbi</w:t>
      </w:r>
    </w:p>
    <w:p w14:paraId="72FD2517" w14:textId="6B6AE64D" w:rsidR="007E15DB" w:rsidRPr="008C4056" w:rsidRDefault="008C4056" w:rsidP="00AC0E2C">
      <w:pPr>
        <w:spacing w:after="120" w:line="252" w:lineRule="auto"/>
        <w:ind w:left="720" w:right="576"/>
        <w:jc w:val="both"/>
        <w:rPr>
          <w:rFonts w:asciiTheme="majorHAnsi" w:hAnsiTheme="majorHAnsi" w:cstheme="majorHAnsi"/>
          <w:sz w:val="22"/>
          <w:lang w:val="it-IT"/>
        </w:rPr>
      </w:pPr>
      <w:r w:rsidRPr="008C4056">
        <w:rPr>
          <w:rFonts w:asciiTheme="majorHAnsi" w:hAnsiTheme="majorHAnsi" w:cstheme="majorHAnsi"/>
          <w:sz w:val="22"/>
          <w:lang w:val="it-IT"/>
        </w:rPr>
        <w:t xml:space="preserve">Zainteresovane strane moći će da podnose pritužbe, komentare ili pitanja </w:t>
      </w:r>
      <w:r>
        <w:rPr>
          <w:rFonts w:asciiTheme="majorHAnsi" w:hAnsiTheme="majorHAnsi" w:cstheme="majorHAnsi"/>
          <w:sz w:val="22"/>
          <w:lang w:val="it-IT"/>
        </w:rPr>
        <w:t>na više načina</w:t>
      </w:r>
      <w:r w:rsidR="00811B0E" w:rsidRPr="008C4056">
        <w:rPr>
          <w:rFonts w:asciiTheme="majorHAnsi" w:hAnsiTheme="majorHAnsi" w:cstheme="majorHAnsi"/>
          <w:sz w:val="22"/>
          <w:lang w:val="it-IT"/>
        </w:rPr>
        <w:t>:</w:t>
      </w:r>
    </w:p>
    <w:p w14:paraId="7484EA60" w14:textId="24AFB77B" w:rsidR="007E15DB" w:rsidRPr="00386B69" w:rsidRDefault="008C4056"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elektronska pošta</w:t>
      </w:r>
      <w:r w:rsidR="00811B0E" w:rsidRPr="00386B69">
        <w:rPr>
          <w:rFonts w:asciiTheme="majorHAnsi" w:hAnsiTheme="majorHAnsi" w:cstheme="majorHAnsi"/>
          <w:sz w:val="22"/>
        </w:rPr>
        <w:t>: [TBD];</w:t>
      </w:r>
    </w:p>
    <w:p w14:paraId="2A204B01" w14:textId="1D583F61" w:rsidR="007E15DB" w:rsidRPr="008C4056" w:rsidRDefault="008C4056"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telefon</w:t>
      </w:r>
      <w:r w:rsidR="00811B0E" w:rsidRPr="008C4056">
        <w:rPr>
          <w:rFonts w:asciiTheme="majorHAnsi" w:hAnsiTheme="majorHAnsi" w:cstheme="majorHAnsi"/>
          <w:sz w:val="22"/>
          <w:lang w:val="it-IT"/>
        </w:rPr>
        <w:t>/</w:t>
      </w:r>
      <w:r w:rsidRPr="008C4056">
        <w:rPr>
          <w:rFonts w:asciiTheme="majorHAnsi" w:hAnsiTheme="majorHAnsi" w:cstheme="majorHAnsi"/>
          <w:sz w:val="22"/>
          <w:lang w:val="it-IT"/>
        </w:rPr>
        <w:t>dežurna linija</w:t>
      </w:r>
      <w:r w:rsidR="00811B0E" w:rsidRPr="008C4056">
        <w:rPr>
          <w:rFonts w:asciiTheme="majorHAnsi" w:hAnsiTheme="majorHAnsi" w:cstheme="majorHAnsi"/>
          <w:sz w:val="22"/>
          <w:lang w:val="it-IT"/>
        </w:rPr>
        <w:t>: [TBD];</w:t>
      </w:r>
    </w:p>
    <w:p w14:paraId="33EA2F05" w14:textId="658102F1" w:rsidR="007E15DB" w:rsidRPr="008C4056" w:rsidRDefault="008C4056" w:rsidP="00AC0E2C">
      <w:pPr>
        <w:pStyle w:val="ListBullet"/>
        <w:spacing w:after="120" w:line="252" w:lineRule="auto"/>
        <w:ind w:left="720" w:right="576"/>
        <w:jc w:val="both"/>
        <w:rPr>
          <w:rFonts w:asciiTheme="majorHAnsi" w:hAnsiTheme="majorHAnsi" w:cstheme="majorHAnsi"/>
          <w:sz w:val="22"/>
          <w:lang w:val="it-IT"/>
        </w:rPr>
      </w:pPr>
      <w:r>
        <w:rPr>
          <w:rFonts w:asciiTheme="majorHAnsi" w:hAnsiTheme="majorHAnsi" w:cstheme="majorHAnsi"/>
          <w:sz w:val="22"/>
          <w:lang w:val="it-IT"/>
        </w:rPr>
        <w:t>o</w:t>
      </w:r>
      <w:r w:rsidRPr="008C4056">
        <w:rPr>
          <w:rFonts w:asciiTheme="majorHAnsi" w:hAnsiTheme="majorHAnsi" w:cstheme="majorHAnsi"/>
          <w:sz w:val="22"/>
          <w:lang w:val="it-IT"/>
        </w:rPr>
        <w:t>nlajn formular za podnošenje pritužbi ili internet stranicu projekta</w:t>
      </w:r>
      <w:r w:rsidR="00811B0E" w:rsidRPr="008C4056">
        <w:rPr>
          <w:rFonts w:asciiTheme="majorHAnsi" w:hAnsiTheme="majorHAnsi" w:cstheme="majorHAnsi"/>
          <w:sz w:val="22"/>
          <w:lang w:val="it-IT"/>
        </w:rPr>
        <w:t>: [TBD];</w:t>
      </w:r>
    </w:p>
    <w:p w14:paraId="3A1A9B7F" w14:textId="4E2012DF" w:rsidR="007E15DB" w:rsidRPr="008C4056" w:rsidRDefault="008C4056" w:rsidP="00AC0E2C">
      <w:pPr>
        <w:pStyle w:val="ListBullet"/>
        <w:spacing w:after="120" w:line="252" w:lineRule="auto"/>
        <w:ind w:left="720" w:right="576"/>
        <w:jc w:val="both"/>
        <w:rPr>
          <w:rFonts w:asciiTheme="majorHAnsi" w:hAnsiTheme="majorHAnsi" w:cstheme="majorHAnsi"/>
          <w:sz w:val="22"/>
        </w:rPr>
      </w:pPr>
      <w:r w:rsidRPr="008C4056">
        <w:rPr>
          <w:rFonts w:asciiTheme="majorHAnsi" w:hAnsiTheme="majorHAnsi" w:cstheme="majorHAnsi"/>
          <w:sz w:val="22"/>
        </w:rPr>
        <w:t>pisanim putem OITEG-u/JIP-u</w:t>
      </w:r>
      <w:r w:rsidR="00811B0E" w:rsidRPr="008C4056">
        <w:rPr>
          <w:rFonts w:asciiTheme="majorHAnsi" w:hAnsiTheme="majorHAnsi" w:cstheme="majorHAnsi"/>
          <w:sz w:val="22"/>
        </w:rPr>
        <w:t>: [TBD];</w:t>
      </w:r>
    </w:p>
    <w:p w14:paraId="29CC3852" w14:textId="6D81D4E2" w:rsidR="007E15DB" w:rsidRPr="00386B69" w:rsidRDefault="008C4056"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li</w:t>
      </w:r>
      <w:r w:rsidRPr="008C4056">
        <w:rPr>
          <w:rFonts w:asciiTheme="majorHAnsi" w:hAnsiTheme="majorHAnsi" w:cstheme="majorHAnsi"/>
          <w:sz w:val="22"/>
        </w:rPr>
        <w:t>čno podnošenje u određenim kancelarijama ili uslužnim centrima</w:t>
      </w:r>
      <w:r w:rsidR="00811B0E" w:rsidRPr="00386B69">
        <w:rPr>
          <w:rFonts w:asciiTheme="majorHAnsi" w:hAnsiTheme="majorHAnsi" w:cstheme="majorHAnsi"/>
          <w:sz w:val="22"/>
        </w:rPr>
        <w:t>: [TBD];</w:t>
      </w:r>
    </w:p>
    <w:p w14:paraId="1A996BD2" w14:textId="2FDE0CB4" w:rsidR="007E15DB" w:rsidRPr="00E33A1E" w:rsidRDefault="00E33A1E" w:rsidP="00AC0E2C">
      <w:pPr>
        <w:pStyle w:val="ListBullet"/>
        <w:spacing w:after="120" w:line="252" w:lineRule="auto"/>
        <w:ind w:left="720" w:right="576"/>
        <w:jc w:val="both"/>
        <w:rPr>
          <w:rFonts w:asciiTheme="majorHAnsi" w:hAnsiTheme="majorHAnsi" w:cstheme="majorHAnsi"/>
          <w:sz w:val="22"/>
          <w:lang w:val="it-IT"/>
        </w:rPr>
      </w:pPr>
      <w:r w:rsidRPr="00E33A1E">
        <w:rPr>
          <w:rFonts w:asciiTheme="majorHAnsi" w:hAnsiTheme="majorHAnsi" w:cstheme="majorHAnsi"/>
          <w:sz w:val="22"/>
          <w:lang w:val="it-IT"/>
        </w:rPr>
        <w:t>kanali za povratne informacije ugrađeni u platforme digitalnih usluga, ukoliko postoje</w:t>
      </w:r>
      <w:r w:rsidR="00811B0E" w:rsidRPr="00E33A1E">
        <w:rPr>
          <w:rFonts w:asciiTheme="majorHAnsi" w:hAnsiTheme="majorHAnsi" w:cstheme="majorHAnsi"/>
          <w:sz w:val="22"/>
          <w:lang w:val="it-IT"/>
        </w:rPr>
        <w:t xml:space="preserve">; </w:t>
      </w:r>
      <w:r w:rsidRPr="00E33A1E">
        <w:rPr>
          <w:rFonts w:asciiTheme="majorHAnsi" w:hAnsiTheme="majorHAnsi" w:cstheme="majorHAnsi"/>
          <w:sz w:val="22"/>
          <w:lang w:val="it-IT"/>
        </w:rPr>
        <w:t>i</w:t>
      </w:r>
    </w:p>
    <w:p w14:paraId="0ACA1C74" w14:textId="7481C907" w:rsidR="007E15DB" w:rsidRPr="003C3CDC" w:rsidRDefault="00E33A1E" w:rsidP="00AC0E2C">
      <w:pPr>
        <w:pStyle w:val="ListBullet"/>
        <w:spacing w:after="120" w:line="252" w:lineRule="auto"/>
        <w:ind w:left="720" w:right="576"/>
        <w:jc w:val="both"/>
        <w:rPr>
          <w:rFonts w:asciiTheme="majorHAnsi" w:hAnsiTheme="majorHAnsi" w:cstheme="majorHAnsi"/>
          <w:sz w:val="22"/>
          <w:lang w:val="it-IT"/>
        </w:rPr>
      </w:pPr>
      <w:r w:rsidRPr="003C3CDC">
        <w:rPr>
          <w:rFonts w:asciiTheme="majorHAnsi" w:hAnsiTheme="majorHAnsi" w:cstheme="majorHAnsi"/>
          <w:sz w:val="22"/>
          <w:lang w:val="it-IT"/>
        </w:rPr>
        <w:t>drugi zvanični kanali koje uspostave OITEG ili JIP</w:t>
      </w:r>
      <w:r w:rsidR="00811B0E" w:rsidRPr="003C3CDC">
        <w:rPr>
          <w:rFonts w:asciiTheme="majorHAnsi" w:hAnsiTheme="majorHAnsi" w:cstheme="majorHAnsi"/>
          <w:sz w:val="22"/>
          <w:lang w:val="it-IT"/>
        </w:rPr>
        <w:t>.</w:t>
      </w:r>
    </w:p>
    <w:p w14:paraId="06B2345C" w14:textId="6A339539" w:rsidR="007E15DB" w:rsidRPr="003C3CDC" w:rsidRDefault="003C3CDC" w:rsidP="00AC0E2C">
      <w:pPr>
        <w:spacing w:after="120" w:line="252" w:lineRule="auto"/>
        <w:ind w:left="720" w:right="576"/>
        <w:jc w:val="both"/>
        <w:rPr>
          <w:rFonts w:asciiTheme="majorHAnsi" w:hAnsiTheme="majorHAnsi" w:cstheme="majorHAnsi"/>
          <w:sz w:val="22"/>
          <w:lang w:val="it-IT"/>
        </w:rPr>
      </w:pPr>
      <w:r w:rsidRPr="003C3CDC">
        <w:rPr>
          <w:rFonts w:asciiTheme="majorHAnsi" w:hAnsiTheme="majorHAnsi" w:cstheme="majorHAnsi"/>
          <w:sz w:val="22"/>
          <w:lang w:val="it-IT"/>
        </w:rPr>
        <w:t>Informacije o GRM kanalima biće objavljene putem internet stranica projekta, materijala</w:t>
      </w:r>
      <w:r>
        <w:rPr>
          <w:rFonts w:asciiTheme="majorHAnsi" w:hAnsiTheme="majorHAnsi" w:cstheme="majorHAnsi"/>
          <w:sz w:val="22"/>
          <w:lang w:val="it-IT"/>
        </w:rPr>
        <w:t xml:space="preserve"> za komunikaciju</w:t>
      </w:r>
      <w:r w:rsidRPr="003C3CDC">
        <w:rPr>
          <w:rFonts w:asciiTheme="majorHAnsi" w:hAnsiTheme="majorHAnsi" w:cstheme="majorHAnsi"/>
          <w:sz w:val="22"/>
          <w:lang w:val="it-IT"/>
        </w:rPr>
        <w:t>, konsultativnih događaja, aktivnosti promocije Digitalnog novčanika i drugih kanala javnog informisanja</w:t>
      </w:r>
      <w:r w:rsidR="00811B0E" w:rsidRPr="003C3CDC">
        <w:rPr>
          <w:rFonts w:asciiTheme="majorHAnsi" w:hAnsiTheme="majorHAnsi" w:cstheme="majorHAnsi"/>
          <w:sz w:val="22"/>
          <w:lang w:val="it-IT"/>
        </w:rPr>
        <w:t>.</w:t>
      </w:r>
    </w:p>
    <w:p w14:paraId="7D8F52F5" w14:textId="3D2BAD5E" w:rsidR="007E15DB" w:rsidRPr="00386B69" w:rsidRDefault="00B4507C" w:rsidP="00611C08">
      <w:pPr>
        <w:pStyle w:val="Heading2"/>
        <w:numPr>
          <w:ilvl w:val="1"/>
          <w:numId w:val="22"/>
        </w:numPr>
        <w:spacing w:before="60" w:after="120"/>
        <w:ind w:right="576"/>
        <w:jc w:val="both"/>
        <w:rPr>
          <w:rFonts w:cstheme="majorHAnsi"/>
          <w:color w:val="auto"/>
          <w:sz w:val="22"/>
          <w:szCs w:val="22"/>
        </w:rPr>
      </w:pPr>
      <w:r>
        <w:rPr>
          <w:rFonts w:eastAsia="Arial" w:cstheme="majorHAnsi"/>
          <w:color w:val="auto"/>
          <w:sz w:val="22"/>
          <w:szCs w:val="22"/>
        </w:rPr>
        <w:t>Koraci obrade i vremenski rokovi</w:t>
      </w:r>
    </w:p>
    <w:tbl>
      <w:tblPr>
        <w:tblStyle w:val="TableGrid"/>
        <w:tblW w:w="5000" w:type="pct"/>
        <w:jc w:val="center"/>
        <w:tblLook w:val="04A0" w:firstRow="1" w:lastRow="0" w:firstColumn="1" w:lastColumn="0" w:noHBand="0" w:noVBand="1"/>
      </w:tblPr>
      <w:tblGrid>
        <w:gridCol w:w="2662"/>
        <w:gridCol w:w="2662"/>
        <w:gridCol w:w="2661"/>
        <w:gridCol w:w="2661"/>
      </w:tblGrid>
      <w:tr w:rsidR="00386B69" w:rsidRPr="00386B69" w14:paraId="7C923F18" w14:textId="77777777">
        <w:trPr>
          <w:cantSplit/>
          <w:tblHeader/>
          <w:jc w:val="center"/>
        </w:trPr>
        <w:tc>
          <w:tcPr>
            <w:tcW w:w="2664" w:type="dxa"/>
            <w:shd w:val="clear" w:color="auto" w:fill="D9EAF7"/>
            <w:tcMar>
              <w:top w:w="60" w:type="dxa"/>
              <w:left w:w="60" w:type="dxa"/>
              <w:bottom w:w="60" w:type="dxa"/>
              <w:right w:w="60" w:type="dxa"/>
            </w:tcMar>
          </w:tcPr>
          <w:p w14:paraId="7E6E8147" w14:textId="7D8E83E9" w:rsidR="007E15DB" w:rsidRPr="004962FD" w:rsidRDefault="00352511" w:rsidP="00AC0E2C">
            <w:pPr>
              <w:rPr>
                <w:rFonts w:asciiTheme="majorHAnsi" w:hAnsiTheme="majorHAnsi" w:cstheme="majorHAnsi"/>
                <w:szCs w:val="20"/>
              </w:rPr>
            </w:pPr>
            <w:r>
              <w:rPr>
                <w:rFonts w:asciiTheme="majorHAnsi" w:hAnsiTheme="majorHAnsi" w:cstheme="majorHAnsi"/>
                <w:b/>
                <w:szCs w:val="20"/>
              </w:rPr>
              <w:t>Korak</w:t>
            </w:r>
          </w:p>
        </w:tc>
        <w:tc>
          <w:tcPr>
            <w:tcW w:w="2664" w:type="dxa"/>
            <w:shd w:val="clear" w:color="auto" w:fill="D9EAF7"/>
            <w:tcMar>
              <w:top w:w="60" w:type="dxa"/>
              <w:left w:w="60" w:type="dxa"/>
              <w:bottom w:w="60" w:type="dxa"/>
              <w:right w:w="60" w:type="dxa"/>
            </w:tcMar>
          </w:tcPr>
          <w:p w14:paraId="70627FCB" w14:textId="24E635F2" w:rsidR="007E15DB" w:rsidRPr="004962FD" w:rsidRDefault="00352511" w:rsidP="00AC0E2C">
            <w:pPr>
              <w:rPr>
                <w:rFonts w:asciiTheme="majorHAnsi" w:hAnsiTheme="majorHAnsi" w:cstheme="majorHAnsi"/>
                <w:szCs w:val="20"/>
              </w:rPr>
            </w:pPr>
            <w:r>
              <w:rPr>
                <w:rFonts w:asciiTheme="majorHAnsi" w:hAnsiTheme="majorHAnsi" w:cstheme="majorHAnsi"/>
                <w:b/>
                <w:szCs w:val="20"/>
              </w:rPr>
              <w:t>Opis</w:t>
            </w:r>
          </w:p>
        </w:tc>
        <w:tc>
          <w:tcPr>
            <w:tcW w:w="2664" w:type="dxa"/>
            <w:shd w:val="clear" w:color="auto" w:fill="D9EAF7"/>
            <w:tcMar>
              <w:top w:w="60" w:type="dxa"/>
              <w:left w:w="60" w:type="dxa"/>
              <w:bottom w:w="60" w:type="dxa"/>
              <w:right w:w="60" w:type="dxa"/>
            </w:tcMar>
          </w:tcPr>
          <w:p w14:paraId="0DCD8A75" w14:textId="105AFE39" w:rsidR="007E15DB" w:rsidRPr="004962FD" w:rsidRDefault="00352511" w:rsidP="00AC0E2C">
            <w:pPr>
              <w:rPr>
                <w:rFonts w:asciiTheme="majorHAnsi" w:hAnsiTheme="majorHAnsi" w:cstheme="majorHAnsi"/>
                <w:szCs w:val="20"/>
              </w:rPr>
            </w:pPr>
            <w:r>
              <w:rPr>
                <w:rFonts w:asciiTheme="majorHAnsi" w:hAnsiTheme="majorHAnsi" w:cstheme="majorHAnsi"/>
                <w:b/>
                <w:szCs w:val="20"/>
              </w:rPr>
              <w:t>Okvirni rok</w:t>
            </w:r>
          </w:p>
        </w:tc>
        <w:tc>
          <w:tcPr>
            <w:tcW w:w="2664" w:type="dxa"/>
            <w:shd w:val="clear" w:color="auto" w:fill="D9EAF7"/>
            <w:tcMar>
              <w:top w:w="60" w:type="dxa"/>
              <w:left w:w="60" w:type="dxa"/>
              <w:bottom w:w="60" w:type="dxa"/>
              <w:right w:w="60" w:type="dxa"/>
            </w:tcMar>
          </w:tcPr>
          <w:p w14:paraId="214559C9" w14:textId="1146AFF0" w:rsidR="007E15DB" w:rsidRPr="004962FD" w:rsidRDefault="00352511" w:rsidP="00AC0E2C">
            <w:pPr>
              <w:rPr>
                <w:rFonts w:asciiTheme="majorHAnsi" w:hAnsiTheme="majorHAnsi" w:cstheme="majorHAnsi"/>
                <w:szCs w:val="20"/>
              </w:rPr>
            </w:pPr>
            <w:r>
              <w:rPr>
                <w:rFonts w:asciiTheme="majorHAnsi" w:hAnsiTheme="majorHAnsi" w:cstheme="majorHAnsi"/>
                <w:b/>
                <w:szCs w:val="20"/>
              </w:rPr>
              <w:t>Nadležni organ</w:t>
            </w:r>
          </w:p>
        </w:tc>
      </w:tr>
      <w:tr w:rsidR="00386B69" w:rsidRPr="00386B69" w14:paraId="361E6D50" w14:textId="77777777">
        <w:trPr>
          <w:cantSplit/>
          <w:jc w:val="center"/>
        </w:trPr>
        <w:tc>
          <w:tcPr>
            <w:tcW w:w="2664" w:type="dxa"/>
            <w:tcMar>
              <w:top w:w="60" w:type="dxa"/>
              <w:left w:w="60" w:type="dxa"/>
              <w:bottom w:w="60" w:type="dxa"/>
              <w:right w:w="60" w:type="dxa"/>
            </w:tcMar>
          </w:tcPr>
          <w:p w14:paraId="118B7C13" w14:textId="3BE5CD27" w:rsidR="007E15DB" w:rsidRPr="004962FD" w:rsidRDefault="00352511" w:rsidP="00AC0E2C">
            <w:pPr>
              <w:rPr>
                <w:rFonts w:asciiTheme="majorHAnsi" w:hAnsiTheme="majorHAnsi" w:cstheme="majorHAnsi"/>
                <w:szCs w:val="20"/>
              </w:rPr>
            </w:pPr>
            <w:r>
              <w:rPr>
                <w:rFonts w:asciiTheme="majorHAnsi" w:hAnsiTheme="majorHAnsi" w:cstheme="majorHAnsi"/>
                <w:szCs w:val="20"/>
              </w:rPr>
              <w:t>1. Prijem</w:t>
            </w:r>
          </w:p>
        </w:tc>
        <w:tc>
          <w:tcPr>
            <w:tcW w:w="2664" w:type="dxa"/>
            <w:tcMar>
              <w:top w:w="60" w:type="dxa"/>
              <w:left w:w="60" w:type="dxa"/>
              <w:bottom w:w="60" w:type="dxa"/>
              <w:right w:w="60" w:type="dxa"/>
            </w:tcMar>
          </w:tcPr>
          <w:p w14:paraId="2F239E39" w14:textId="6DC17DC5" w:rsidR="007E15DB" w:rsidRPr="004962FD" w:rsidRDefault="00352511" w:rsidP="00AC0E2C">
            <w:pPr>
              <w:rPr>
                <w:rFonts w:asciiTheme="majorHAnsi" w:hAnsiTheme="majorHAnsi" w:cstheme="majorHAnsi"/>
                <w:szCs w:val="20"/>
              </w:rPr>
            </w:pPr>
            <w:r w:rsidRPr="00352511">
              <w:rPr>
                <w:rFonts w:asciiTheme="majorHAnsi" w:hAnsiTheme="majorHAnsi" w:cstheme="majorHAnsi"/>
                <w:szCs w:val="20"/>
              </w:rPr>
              <w:t>Primljena je žalba, pitanje ili povratna informacija putem jednog od dostupnih kanala</w:t>
            </w:r>
          </w:p>
        </w:tc>
        <w:tc>
          <w:tcPr>
            <w:tcW w:w="2664" w:type="dxa"/>
            <w:tcMar>
              <w:top w:w="60" w:type="dxa"/>
              <w:left w:w="60" w:type="dxa"/>
              <w:bottom w:w="60" w:type="dxa"/>
              <w:right w:w="60" w:type="dxa"/>
            </w:tcMar>
          </w:tcPr>
          <w:p w14:paraId="0479C8D4" w14:textId="39A14A1B" w:rsidR="007E15DB" w:rsidRPr="004962FD" w:rsidRDefault="00352511" w:rsidP="00AC0E2C">
            <w:pPr>
              <w:rPr>
                <w:rFonts w:asciiTheme="majorHAnsi" w:hAnsiTheme="majorHAnsi" w:cstheme="majorHAnsi"/>
                <w:szCs w:val="20"/>
              </w:rPr>
            </w:pPr>
            <w:r>
              <w:rPr>
                <w:rFonts w:asciiTheme="majorHAnsi" w:hAnsiTheme="majorHAnsi" w:cstheme="majorHAnsi"/>
                <w:szCs w:val="20"/>
              </w:rPr>
              <w:t>Dan</w:t>
            </w:r>
            <w:r w:rsidR="00811B0E" w:rsidRPr="004962FD">
              <w:rPr>
                <w:rFonts w:asciiTheme="majorHAnsi" w:hAnsiTheme="majorHAnsi" w:cstheme="majorHAnsi"/>
                <w:szCs w:val="20"/>
              </w:rPr>
              <w:t xml:space="preserve"> 0</w:t>
            </w:r>
          </w:p>
        </w:tc>
        <w:tc>
          <w:tcPr>
            <w:tcW w:w="2664" w:type="dxa"/>
            <w:tcMar>
              <w:top w:w="60" w:type="dxa"/>
              <w:left w:w="60" w:type="dxa"/>
              <w:bottom w:w="60" w:type="dxa"/>
              <w:right w:w="60" w:type="dxa"/>
            </w:tcMar>
          </w:tcPr>
          <w:p w14:paraId="4F1A1181" w14:textId="63C69F39" w:rsidR="007E15DB" w:rsidRPr="004962FD" w:rsidRDefault="00352511"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410675A9" w14:textId="77777777">
        <w:trPr>
          <w:cantSplit/>
          <w:jc w:val="center"/>
        </w:trPr>
        <w:tc>
          <w:tcPr>
            <w:tcW w:w="2664" w:type="dxa"/>
            <w:tcMar>
              <w:top w:w="60" w:type="dxa"/>
              <w:left w:w="60" w:type="dxa"/>
              <w:bottom w:w="60" w:type="dxa"/>
              <w:right w:w="60" w:type="dxa"/>
            </w:tcMar>
          </w:tcPr>
          <w:p w14:paraId="48545BAC" w14:textId="52F21377" w:rsidR="007E15DB" w:rsidRPr="004962FD" w:rsidRDefault="00352511" w:rsidP="00AC0E2C">
            <w:pPr>
              <w:rPr>
                <w:rFonts w:asciiTheme="majorHAnsi" w:hAnsiTheme="majorHAnsi" w:cstheme="majorHAnsi"/>
                <w:szCs w:val="20"/>
              </w:rPr>
            </w:pPr>
            <w:r>
              <w:rPr>
                <w:rFonts w:asciiTheme="majorHAnsi" w:hAnsiTheme="majorHAnsi" w:cstheme="majorHAnsi"/>
                <w:szCs w:val="20"/>
              </w:rPr>
              <w:t>2. Evidentiranje</w:t>
            </w:r>
          </w:p>
        </w:tc>
        <w:tc>
          <w:tcPr>
            <w:tcW w:w="2664" w:type="dxa"/>
            <w:tcMar>
              <w:top w:w="60" w:type="dxa"/>
              <w:left w:w="60" w:type="dxa"/>
              <w:bottom w:w="60" w:type="dxa"/>
              <w:right w:w="60" w:type="dxa"/>
            </w:tcMar>
          </w:tcPr>
          <w:p w14:paraId="674DA581" w14:textId="7793B739" w:rsidR="007E15DB" w:rsidRPr="004F7BD6" w:rsidRDefault="00352511" w:rsidP="00352511">
            <w:pPr>
              <w:rPr>
                <w:rFonts w:asciiTheme="majorHAnsi" w:hAnsiTheme="majorHAnsi" w:cstheme="majorHAnsi"/>
                <w:szCs w:val="20"/>
                <w:lang w:val="it-IT"/>
              </w:rPr>
            </w:pPr>
            <w:r w:rsidRPr="004F7BD6">
              <w:rPr>
                <w:rFonts w:asciiTheme="majorHAnsi" w:hAnsiTheme="majorHAnsi" w:cstheme="majorHAnsi"/>
                <w:szCs w:val="20"/>
                <w:lang w:val="it-IT"/>
              </w:rPr>
              <w:t>Podnesak se evidentira u registru žalbi, sadrži datum, kanal prijema, predmet i status</w:t>
            </w:r>
          </w:p>
        </w:tc>
        <w:tc>
          <w:tcPr>
            <w:tcW w:w="2664" w:type="dxa"/>
            <w:tcMar>
              <w:top w:w="60" w:type="dxa"/>
              <w:left w:w="60" w:type="dxa"/>
              <w:bottom w:w="60" w:type="dxa"/>
              <w:right w:w="60" w:type="dxa"/>
            </w:tcMar>
          </w:tcPr>
          <w:p w14:paraId="28D345C5" w14:textId="35885312" w:rsidR="007E15DB" w:rsidRPr="004962FD" w:rsidRDefault="00352511" w:rsidP="00AC0E2C">
            <w:pPr>
              <w:rPr>
                <w:rFonts w:asciiTheme="majorHAnsi" w:hAnsiTheme="majorHAnsi" w:cstheme="majorHAnsi"/>
                <w:szCs w:val="20"/>
              </w:rPr>
            </w:pPr>
            <w:r>
              <w:rPr>
                <w:rFonts w:asciiTheme="majorHAnsi" w:hAnsiTheme="majorHAnsi" w:cstheme="majorHAnsi"/>
                <w:szCs w:val="20"/>
              </w:rPr>
              <w:t>U roku od 2 radna dana</w:t>
            </w:r>
          </w:p>
        </w:tc>
        <w:tc>
          <w:tcPr>
            <w:tcW w:w="2664" w:type="dxa"/>
            <w:tcMar>
              <w:top w:w="60" w:type="dxa"/>
              <w:left w:w="60" w:type="dxa"/>
              <w:bottom w:w="60" w:type="dxa"/>
              <w:right w:w="60" w:type="dxa"/>
            </w:tcMar>
          </w:tcPr>
          <w:p w14:paraId="4C284C5D" w14:textId="03030F19" w:rsidR="007E15DB" w:rsidRPr="004962FD" w:rsidRDefault="00352511"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7B25781B" w14:textId="77777777">
        <w:trPr>
          <w:cantSplit/>
          <w:jc w:val="center"/>
        </w:trPr>
        <w:tc>
          <w:tcPr>
            <w:tcW w:w="2664" w:type="dxa"/>
            <w:tcMar>
              <w:top w:w="60" w:type="dxa"/>
              <w:left w:w="60" w:type="dxa"/>
              <w:bottom w:w="60" w:type="dxa"/>
              <w:right w:w="60" w:type="dxa"/>
            </w:tcMar>
          </w:tcPr>
          <w:p w14:paraId="2FDCA11F" w14:textId="5846C29A" w:rsidR="007E15DB" w:rsidRPr="004962FD" w:rsidRDefault="00352511" w:rsidP="00AC0E2C">
            <w:pPr>
              <w:rPr>
                <w:rFonts w:asciiTheme="majorHAnsi" w:hAnsiTheme="majorHAnsi" w:cstheme="majorHAnsi"/>
                <w:szCs w:val="20"/>
              </w:rPr>
            </w:pPr>
            <w:r>
              <w:rPr>
                <w:rFonts w:asciiTheme="majorHAnsi" w:hAnsiTheme="majorHAnsi" w:cstheme="majorHAnsi"/>
                <w:szCs w:val="20"/>
              </w:rPr>
              <w:t>3. Potvrda prijema</w:t>
            </w:r>
          </w:p>
        </w:tc>
        <w:tc>
          <w:tcPr>
            <w:tcW w:w="2664" w:type="dxa"/>
            <w:tcMar>
              <w:top w:w="60" w:type="dxa"/>
              <w:left w:w="60" w:type="dxa"/>
              <w:bottom w:w="60" w:type="dxa"/>
              <w:right w:w="60" w:type="dxa"/>
            </w:tcMar>
          </w:tcPr>
          <w:p w14:paraId="3E1DFC1A" w14:textId="6391DFFE" w:rsidR="007E15DB" w:rsidRPr="004962FD" w:rsidRDefault="00352511" w:rsidP="00AC0E2C">
            <w:pPr>
              <w:rPr>
                <w:rFonts w:asciiTheme="majorHAnsi" w:hAnsiTheme="majorHAnsi" w:cstheme="majorHAnsi"/>
                <w:szCs w:val="20"/>
              </w:rPr>
            </w:pPr>
            <w:r w:rsidRPr="00352511">
              <w:rPr>
                <w:rFonts w:asciiTheme="majorHAnsi" w:hAnsiTheme="majorHAnsi" w:cstheme="majorHAnsi"/>
                <w:szCs w:val="20"/>
              </w:rPr>
              <w:t>Podnosilac žalbe dobija potvrdu o prijemu, ukoliko su dostupni kontakt podaci</w:t>
            </w:r>
          </w:p>
        </w:tc>
        <w:tc>
          <w:tcPr>
            <w:tcW w:w="2664" w:type="dxa"/>
            <w:tcMar>
              <w:top w:w="60" w:type="dxa"/>
              <w:left w:w="60" w:type="dxa"/>
              <w:bottom w:w="60" w:type="dxa"/>
              <w:right w:w="60" w:type="dxa"/>
            </w:tcMar>
          </w:tcPr>
          <w:p w14:paraId="1F5D431F" w14:textId="183DDA8A" w:rsidR="007E15DB" w:rsidRPr="004962FD" w:rsidRDefault="00352511" w:rsidP="00AC0E2C">
            <w:pPr>
              <w:rPr>
                <w:rFonts w:asciiTheme="majorHAnsi" w:hAnsiTheme="majorHAnsi" w:cstheme="majorHAnsi"/>
                <w:szCs w:val="20"/>
              </w:rPr>
            </w:pPr>
            <w:r>
              <w:rPr>
                <w:rFonts w:asciiTheme="majorHAnsi" w:hAnsiTheme="majorHAnsi" w:cstheme="majorHAnsi"/>
                <w:szCs w:val="20"/>
              </w:rPr>
              <w:t>U roku od 5 radnih dana</w:t>
            </w:r>
          </w:p>
        </w:tc>
        <w:tc>
          <w:tcPr>
            <w:tcW w:w="2664" w:type="dxa"/>
            <w:tcMar>
              <w:top w:w="60" w:type="dxa"/>
              <w:left w:w="60" w:type="dxa"/>
              <w:bottom w:w="60" w:type="dxa"/>
              <w:right w:w="60" w:type="dxa"/>
            </w:tcMar>
          </w:tcPr>
          <w:p w14:paraId="57E4AF49" w14:textId="364219E7" w:rsidR="007E15DB" w:rsidRPr="004962FD" w:rsidRDefault="00352511"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19F290FB" w14:textId="77777777">
        <w:trPr>
          <w:cantSplit/>
          <w:jc w:val="center"/>
        </w:trPr>
        <w:tc>
          <w:tcPr>
            <w:tcW w:w="2664" w:type="dxa"/>
            <w:tcMar>
              <w:top w:w="60" w:type="dxa"/>
              <w:left w:w="60" w:type="dxa"/>
              <w:bottom w:w="60" w:type="dxa"/>
              <w:right w:w="60" w:type="dxa"/>
            </w:tcMar>
          </w:tcPr>
          <w:p w14:paraId="677D95EC" w14:textId="3EC93BE1" w:rsidR="007E15DB" w:rsidRPr="004962FD" w:rsidRDefault="00824A11" w:rsidP="00AC0E2C">
            <w:pPr>
              <w:rPr>
                <w:rFonts w:asciiTheme="majorHAnsi" w:hAnsiTheme="majorHAnsi" w:cstheme="majorHAnsi"/>
                <w:szCs w:val="20"/>
              </w:rPr>
            </w:pPr>
            <w:r>
              <w:rPr>
                <w:rFonts w:asciiTheme="majorHAnsi" w:hAnsiTheme="majorHAnsi" w:cstheme="majorHAnsi"/>
                <w:szCs w:val="20"/>
              </w:rPr>
              <w:lastRenderedPageBreak/>
              <w:t>4. Procena</w:t>
            </w:r>
          </w:p>
        </w:tc>
        <w:tc>
          <w:tcPr>
            <w:tcW w:w="2664" w:type="dxa"/>
            <w:tcMar>
              <w:top w:w="60" w:type="dxa"/>
              <w:left w:w="60" w:type="dxa"/>
              <w:bottom w:w="60" w:type="dxa"/>
              <w:right w:w="60" w:type="dxa"/>
            </w:tcMar>
          </w:tcPr>
          <w:p w14:paraId="57ED7126" w14:textId="263E5984" w:rsidR="007E15DB" w:rsidRPr="004962FD" w:rsidRDefault="00824A11" w:rsidP="00AC0E2C">
            <w:pPr>
              <w:rPr>
                <w:rFonts w:asciiTheme="majorHAnsi" w:hAnsiTheme="majorHAnsi" w:cstheme="majorHAnsi"/>
                <w:szCs w:val="20"/>
              </w:rPr>
            </w:pPr>
            <w:r w:rsidRPr="00824A11">
              <w:rPr>
                <w:rFonts w:asciiTheme="majorHAnsi" w:hAnsiTheme="majorHAnsi" w:cstheme="majorHAnsi"/>
                <w:szCs w:val="20"/>
              </w:rPr>
              <w:t>Predmet se razmatra i dodeljuje nadležnom tehničkom, socijalnom, pravnom ili institucionalnom timu</w:t>
            </w:r>
          </w:p>
        </w:tc>
        <w:tc>
          <w:tcPr>
            <w:tcW w:w="2664" w:type="dxa"/>
            <w:tcMar>
              <w:top w:w="60" w:type="dxa"/>
              <w:left w:w="60" w:type="dxa"/>
              <w:bottom w:w="60" w:type="dxa"/>
              <w:right w:w="60" w:type="dxa"/>
            </w:tcMar>
          </w:tcPr>
          <w:p w14:paraId="4B1AA6A8" w14:textId="2DD98AFE" w:rsidR="007E15DB" w:rsidRPr="004962FD" w:rsidRDefault="00824A11" w:rsidP="00AC0E2C">
            <w:pPr>
              <w:rPr>
                <w:rFonts w:asciiTheme="majorHAnsi" w:hAnsiTheme="majorHAnsi" w:cstheme="majorHAnsi"/>
                <w:szCs w:val="20"/>
              </w:rPr>
            </w:pPr>
            <w:r>
              <w:rPr>
                <w:rFonts w:asciiTheme="majorHAnsi" w:hAnsiTheme="majorHAnsi" w:cstheme="majorHAnsi"/>
                <w:szCs w:val="20"/>
              </w:rPr>
              <w:t>U roku od 10 radnih dana</w:t>
            </w:r>
          </w:p>
        </w:tc>
        <w:tc>
          <w:tcPr>
            <w:tcW w:w="2664" w:type="dxa"/>
            <w:tcMar>
              <w:top w:w="60" w:type="dxa"/>
              <w:left w:w="60" w:type="dxa"/>
              <w:bottom w:w="60" w:type="dxa"/>
              <w:right w:w="60" w:type="dxa"/>
            </w:tcMar>
          </w:tcPr>
          <w:p w14:paraId="58784B6E" w14:textId="5A49490C" w:rsidR="007E15DB" w:rsidRPr="004962FD" w:rsidRDefault="00824A11" w:rsidP="00AC0E2C">
            <w:pPr>
              <w:rPr>
                <w:rFonts w:asciiTheme="majorHAnsi" w:hAnsiTheme="majorHAnsi" w:cstheme="majorHAnsi"/>
                <w:szCs w:val="20"/>
              </w:rPr>
            </w:pPr>
            <w:r>
              <w:rPr>
                <w:rFonts w:asciiTheme="majorHAnsi" w:hAnsiTheme="majorHAnsi" w:cstheme="majorHAnsi"/>
                <w:szCs w:val="20"/>
              </w:rPr>
              <w:t>PIU u saradnji s nadležnim organom</w:t>
            </w:r>
          </w:p>
        </w:tc>
      </w:tr>
      <w:tr w:rsidR="00386B69" w:rsidRPr="00386B69" w14:paraId="4C2CEE90" w14:textId="77777777">
        <w:trPr>
          <w:cantSplit/>
          <w:jc w:val="center"/>
        </w:trPr>
        <w:tc>
          <w:tcPr>
            <w:tcW w:w="2664" w:type="dxa"/>
            <w:tcMar>
              <w:top w:w="60" w:type="dxa"/>
              <w:left w:w="60" w:type="dxa"/>
              <w:bottom w:w="60" w:type="dxa"/>
              <w:right w:w="60" w:type="dxa"/>
            </w:tcMar>
          </w:tcPr>
          <w:p w14:paraId="09B0B4BE" w14:textId="7832C274" w:rsidR="007E15DB" w:rsidRPr="004962FD" w:rsidRDefault="00824A11" w:rsidP="00AC0E2C">
            <w:pPr>
              <w:rPr>
                <w:rFonts w:asciiTheme="majorHAnsi" w:hAnsiTheme="majorHAnsi" w:cstheme="majorHAnsi"/>
                <w:szCs w:val="20"/>
              </w:rPr>
            </w:pPr>
            <w:r>
              <w:rPr>
                <w:rFonts w:asciiTheme="majorHAnsi" w:hAnsiTheme="majorHAnsi" w:cstheme="majorHAnsi"/>
                <w:szCs w:val="20"/>
              </w:rPr>
              <w:t xml:space="preserve">5. </w:t>
            </w:r>
            <w:r w:rsidRPr="00824A11">
              <w:rPr>
                <w:rFonts w:asciiTheme="majorHAnsi" w:hAnsiTheme="majorHAnsi" w:cstheme="majorHAnsi"/>
                <w:szCs w:val="20"/>
              </w:rPr>
              <w:t>Odgovor i predloženo rešenje</w:t>
            </w:r>
          </w:p>
        </w:tc>
        <w:tc>
          <w:tcPr>
            <w:tcW w:w="2664" w:type="dxa"/>
            <w:tcMar>
              <w:top w:w="60" w:type="dxa"/>
              <w:left w:w="60" w:type="dxa"/>
              <w:bottom w:w="60" w:type="dxa"/>
              <w:right w:w="60" w:type="dxa"/>
            </w:tcMar>
          </w:tcPr>
          <w:p w14:paraId="5B12A268" w14:textId="7052B13B" w:rsidR="007E15DB" w:rsidRPr="004962FD" w:rsidRDefault="00824A11" w:rsidP="00AC0E2C">
            <w:pPr>
              <w:rPr>
                <w:rFonts w:asciiTheme="majorHAnsi" w:hAnsiTheme="majorHAnsi" w:cstheme="majorHAnsi"/>
                <w:szCs w:val="20"/>
              </w:rPr>
            </w:pPr>
            <w:r w:rsidRPr="00824A11">
              <w:rPr>
                <w:rFonts w:asciiTheme="majorHAnsi" w:hAnsiTheme="majorHAnsi" w:cstheme="majorHAnsi"/>
                <w:szCs w:val="20"/>
              </w:rPr>
              <w:t>Dostavlja se odgovor, uključujući predložene korek</w:t>
            </w:r>
            <w:r>
              <w:rPr>
                <w:rFonts w:asciiTheme="majorHAnsi" w:hAnsiTheme="majorHAnsi" w:cstheme="majorHAnsi"/>
                <w:szCs w:val="20"/>
              </w:rPr>
              <w:t>tivne mere, ukoliko je potrebno</w:t>
            </w:r>
          </w:p>
        </w:tc>
        <w:tc>
          <w:tcPr>
            <w:tcW w:w="2664" w:type="dxa"/>
            <w:tcMar>
              <w:top w:w="60" w:type="dxa"/>
              <w:left w:w="60" w:type="dxa"/>
              <w:bottom w:w="60" w:type="dxa"/>
              <w:right w:w="60" w:type="dxa"/>
            </w:tcMar>
          </w:tcPr>
          <w:p w14:paraId="74ED5143" w14:textId="1BA6D740" w:rsidR="007E15DB" w:rsidRPr="004962FD" w:rsidRDefault="00824A11" w:rsidP="00824A11">
            <w:pPr>
              <w:rPr>
                <w:rFonts w:asciiTheme="majorHAnsi" w:hAnsiTheme="majorHAnsi" w:cstheme="majorHAnsi"/>
                <w:szCs w:val="20"/>
              </w:rPr>
            </w:pPr>
            <w:r w:rsidRPr="00824A11">
              <w:rPr>
                <w:rFonts w:asciiTheme="majorHAnsi" w:hAnsiTheme="majorHAnsi" w:cstheme="majorHAnsi"/>
                <w:szCs w:val="20"/>
              </w:rPr>
              <w:t xml:space="preserve">U roku od 30 kalendarskih dana, gde je </w:t>
            </w:r>
            <w:r>
              <w:rPr>
                <w:rFonts w:asciiTheme="majorHAnsi" w:hAnsiTheme="majorHAnsi" w:cstheme="majorHAnsi"/>
                <w:szCs w:val="20"/>
              </w:rPr>
              <w:t>moguće</w:t>
            </w:r>
          </w:p>
        </w:tc>
        <w:tc>
          <w:tcPr>
            <w:tcW w:w="2664" w:type="dxa"/>
            <w:tcMar>
              <w:top w:w="60" w:type="dxa"/>
              <w:left w:w="60" w:type="dxa"/>
              <w:bottom w:w="60" w:type="dxa"/>
              <w:right w:w="60" w:type="dxa"/>
            </w:tcMar>
          </w:tcPr>
          <w:p w14:paraId="4F535D3E" w14:textId="7C6BCDC0"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w:t>
            </w:r>
            <w:r w:rsidR="00824A11">
              <w:rPr>
                <w:rFonts w:asciiTheme="majorHAnsi" w:hAnsiTheme="majorHAnsi" w:cstheme="majorHAnsi"/>
                <w:szCs w:val="20"/>
              </w:rPr>
              <w:t>IU/nadležni organ</w:t>
            </w:r>
          </w:p>
        </w:tc>
      </w:tr>
      <w:tr w:rsidR="00386B69" w:rsidRPr="00386B69" w14:paraId="4824987F" w14:textId="77777777">
        <w:trPr>
          <w:cantSplit/>
          <w:jc w:val="center"/>
        </w:trPr>
        <w:tc>
          <w:tcPr>
            <w:tcW w:w="2664" w:type="dxa"/>
            <w:tcMar>
              <w:top w:w="60" w:type="dxa"/>
              <w:left w:w="60" w:type="dxa"/>
              <w:bottom w:w="60" w:type="dxa"/>
              <w:right w:w="60" w:type="dxa"/>
            </w:tcMar>
          </w:tcPr>
          <w:p w14:paraId="72C8D863" w14:textId="2E0300F1" w:rsidR="007E15DB" w:rsidRPr="006F3BB9" w:rsidRDefault="00824A11" w:rsidP="006F3BB9">
            <w:pPr>
              <w:rPr>
                <w:rFonts w:asciiTheme="majorHAnsi" w:hAnsiTheme="majorHAnsi" w:cstheme="majorHAnsi"/>
                <w:szCs w:val="20"/>
                <w:lang w:val="it-IT"/>
              </w:rPr>
            </w:pPr>
            <w:r w:rsidRPr="006F3BB9">
              <w:rPr>
                <w:rFonts w:asciiTheme="majorHAnsi" w:hAnsiTheme="majorHAnsi" w:cstheme="majorHAnsi"/>
                <w:szCs w:val="20"/>
                <w:lang w:val="it-IT"/>
              </w:rPr>
              <w:t xml:space="preserve">6. </w:t>
            </w:r>
            <w:r w:rsidR="006F3BB9" w:rsidRPr="006F3BB9">
              <w:rPr>
                <w:rFonts w:asciiTheme="majorHAnsi" w:hAnsiTheme="majorHAnsi" w:cstheme="majorHAnsi"/>
                <w:szCs w:val="20"/>
                <w:lang w:val="it-IT"/>
              </w:rPr>
              <w:t>Vi</w:t>
            </w:r>
            <w:r w:rsidR="006F3BB9">
              <w:rPr>
                <w:rFonts w:asciiTheme="majorHAnsi" w:hAnsiTheme="majorHAnsi" w:cstheme="majorHAnsi"/>
                <w:szCs w:val="20"/>
                <w:lang w:val="sr-Latn-RS"/>
              </w:rPr>
              <w:t>ša instanca</w:t>
            </w:r>
            <w:r w:rsidRPr="006F3BB9">
              <w:rPr>
                <w:rFonts w:asciiTheme="majorHAnsi" w:hAnsiTheme="majorHAnsi" w:cstheme="majorHAnsi"/>
                <w:szCs w:val="20"/>
                <w:lang w:val="it-IT"/>
              </w:rPr>
              <w:t xml:space="preserve"> ili žalbeni postupak</w:t>
            </w:r>
          </w:p>
        </w:tc>
        <w:tc>
          <w:tcPr>
            <w:tcW w:w="2664" w:type="dxa"/>
            <w:tcMar>
              <w:top w:w="60" w:type="dxa"/>
              <w:left w:w="60" w:type="dxa"/>
              <w:bottom w:w="60" w:type="dxa"/>
              <w:right w:w="60" w:type="dxa"/>
            </w:tcMar>
          </w:tcPr>
          <w:p w14:paraId="1E223225" w14:textId="101FCB1D" w:rsidR="007E15DB" w:rsidRPr="004962FD" w:rsidRDefault="00824A11" w:rsidP="009E7F6C">
            <w:pPr>
              <w:rPr>
                <w:rFonts w:asciiTheme="majorHAnsi" w:hAnsiTheme="majorHAnsi" w:cstheme="majorHAnsi"/>
                <w:szCs w:val="20"/>
              </w:rPr>
            </w:pPr>
            <w:r w:rsidRPr="00824A11">
              <w:rPr>
                <w:rFonts w:asciiTheme="majorHAnsi" w:hAnsiTheme="majorHAnsi" w:cstheme="majorHAnsi"/>
                <w:szCs w:val="20"/>
              </w:rPr>
              <w:t xml:space="preserve">Ukoliko podnosilac žalbe nije zadovoljan, žalba može biti </w:t>
            </w:r>
            <w:r w:rsidR="00F84DF3">
              <w:rPr>
                <w:rFonts w:asciiTheme="majorHAnsi" w:hAnsiTheme="majorHAnsi" w:cstheme="majorHAnsi"/>
                <w:szCs w:val="20"/>
              </w:rPr>
              <w:t xml:space="preserve">dodatno </w:t>
            </w:r>
            <w:r w:rsidR="009E7F6C">
              <w:rPr>
                <w:rFonts w:asciiTheme="majorHAnsi" w:hAnsiTheme="majorHAnsi" w:cstheme="majorHAnsi"/>
                <w:szCs w:val="20"/>
              </w:rPr>
              <w:t>razmatrana na višoj instanci</w:t>
            </w:r>
          </w:p>
        </w:tc>
        <w:tc>
          <w:tcPr>
            <w:tcW w:w="2664" w:type="dxa"/>
            <w:tcMar>
              <w:top w:w="60" w:type="dxa"/>
              <w:left w:w="60" w:type="dxa"/>
              <w:bottom w:w="60" w:type="dxa"/>
              <w:right w:w="60" w:type="dxa"/>
            </w:tcMar>
          </w:tcPr>
          <w:p w14:paraId="20EA89BD" w14:textId="1FE3C570" w:rsidR="007E15DB" w:rsidRPr="004962FD" w:rsidRDefault="00F84DF3" w:rsidP="00D152BD">
            <w:pPr>
              <w:rPr>
                <w:rFonts w:asciiTheme="majorHAnsi" w:hAnsiTheme="majorHAnsi" w:cstheme="majorHAnsi"/>
                <w:szCs w:val="20"/>
              </w:rPr>
            </w:pPr>
            <w:r>
              <w:rPr>
                <w:rFonts w:asciiTheme="majorHAnsi" w:hAnsiTheme="majorHAnsi" w:cstheme="majorHAnsi"/>
                <w:szCs w:val="20"/>
              </w:rPr>
              <w:t xml:space="preserve">Biće naknadno </w:t>
            </w:r>
            <w:r w:rsidR="00D152BD">
              <w:rPr>
                <w:rFonts w:asciiTheme="majorHAnsi" w:hAnsiTheme="majorHAnsi" w:cstheme="majorHAnsi"/>
                <w:szCs w:val="20"/>
              </w:rPr>
              <w:t>utvrđeno</w:t>
            </w:r>
          </w:p>
        </w:tc>
        <w:tc>
          <w:tcPr>
            <w:tcW w:w="2664" w:type="dxa"/>
            <w:tcMar>
              <w:top w:w="60" w:type="dxa"/>
              <w:left w:w="60" w:type="dxa"/>
              <w:bottom w:w="60" w:type="dxa"/>
              <w:right w:w="60" w:type="dxa"/>
            </w:tcMar>
          </w:tcPr>
          <w:p w14:paraId="60B2D866"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PIU/OITEG</w:t>
            </w:r>
          </w:p>
        </w:tc>
      </w:tr>
      <w:tr w:rsidR="00386B69" w:rsidRPr="00386B69" w14:paraId="68DD2A00" w14:textId="77777777">
        <w:trPr>
          <w:cantSplit/>
          <w:jc w:val="center"/>
        </w:trPr>
        <w:tc>
          <w:tcPr>
            <w:tcW w:w="2664" w:type="dxa"/>
            <w:tcMar>
              <w:top w:w="60" w:type="dxa"/>
              <w:left w:w="60" w:type="dxa"/>
              <w:bottom w:w="60" w:type="dxa"/>
              <w:right w:w="60" w:type="dxa"/>
            </w:tcMar>
          </w:tcPr>
          <w:p w14:paraId="3EFB1901" w14:textId="24850314" w:rsidR="007E15DB" w:rsidRPr="009E7F6C" w:rsidRDefault="009E7F6C" w:rsidP="00AC0E2C">
            <w:pPr>
              <w:rPr>
                <w:rFonts w:asciiTheme="majorHAnsi" w:hAnsiTheme="majorHAnsi" w:cstheme="majorHAnsi"/>
                <w:szCs w:val="20"/>
                <w:lang w:val="sr-Latn-RS"/>
              </w:rPr>
            </w:pPr>
            <w:r>
              <w:rPr>
                <w:rFonts w:asciiTheme="majorHAnsi" w:hAnsiTheme="majorHAnsi" w:cstheme="majorHAnsi"/>
                <w:szCs w:val="20"/>
              </w:rPr>
              <w:t xml:space="preserve">7. </w:t>
            </w:r>
            <w:r>
              <w:rPr>
                <w:rFonts w:asciiTheme="majorHAnsi" w:hAnsiTheme="majorHAnsi" w:cstheme="majorHAnsi"/>
                <w:szCs w:val="20"/>
                <w:lang w:val="sr-Latn-RS"/>
              </w:rPr>
              <w:t>Zatvaranje predmeta</w:t>
            </w:r>
          </w:p>
        </w:tc>
        <w:tc>
          <w:tcPr>
            <w:tcW w:w="2664" w:type="dxa"/>
            <w:tcMar>
              <w:top w:w="60" w:type="dxa"/>
              <w:left w:w="60" w:type="dxa"/>
              <w:bottom w:w="60" w:type="dxa"/>
              <w:right w:w="60" w:type="dxa"/>
            </w:tcMar>
          </w:tcPr>
          <w:p w14:paraId="41FAFF2C" w14:textId="1422EFE0" w:rsidR="007E15DB" w:rsidRPr="004F7BD6" w:rsidRDefault="009E7F6C" w:rsidP="00AC0E2C">
            <w:pPr>
              <w:rPr>
                <w:rFonts w:asciiTheme="majorHAnsi" w:hAnsiTheme="majorHAnsi" w:cstheme="majorHAnsi"/>
                <w:szCs w:val="20"/>
                <w:lang w:val="it-IT"/>
              </w:rPr>
            </w:pPr>
            <w:r w:rsidRPr="004F7BD6">
              <w:rPr>
                <w:rFonts w:asciiTheme="majorHAnsi" w:hAnsiTheme="majorHAnsi" w:cstheme="majorHAnsi"/>
                <w:szCs w:val="20"/>
                <w:lang w:val="it-IT"/>
              </w:rPr>
              <w:t>Žalba se zatvara nakon odgovora/preduzete mere ili po završetku razmatranja na višoj instanci</w:t>
            </w:r>
          </w:p>
        </w:tc>
        <w:tc>
          <w:tcPr>
            <w:tcW w:w="2664" w:type="dxa"/>
            <w:tcMar>
              <w:top w:w="60" w:type="dxa"/>
              <w:left w:w="60" w:type="dxa"/>
              <w:bottom w:w="60" w:type="dxa"/>
              <w:right w:w="60" w:type="dxa"/>
            </w:tcMar>
          </w:tcPr>
          <w:p w14:paraId="551C2395" w14:textId="6FE2F725" w:rsidR="007E15DB" w:rsidRPr="004962FD" w:rsidRDefault="009E7F6C" w:rsidP="00AC0E2C">
            <w:pPr>
              <w:rPr>
                <w:rFonts w:asciiTheme="majorHAnsi" w:hAnsiTheme="majorHAnsi" w:cstheme="majorHAnsi"/>
                <w:szCs w:val="20"/>
              </w:rPr>
            </w:pPr>
            <w:r>
              <w:rPr>
                <w:rFonts w:asciiTheme="majorHAnsi" w:hAnsiTheme="majorHAnsi" w:cstheme="majorHAnsi"/>
                <w:szCs w:val="20"/>
              </w:rPr>
              <w:t>Po rešavanju predmeta</w:t>
            </w:r>
          </w:p>
        </w:tc>
        <w:tc>
          <w:tcPr>
            <w:tcW w:w="2664" w:type="dxa"/>
            <w:tcMar>
              <w:top w:w="60" w:type="dxa"/>
              <w:left w:w="60" w:type="dxa"/>
              <w:bottom w:w="60" w:type="dxa"/>
              <w:right w:w="60" w:type="dxa"/>
            </w:tcMar>
          </w:tcPr>
          <w:p w14:paraId="338DFAD9" w14:textId="77C46EB4" w:rsidR="007E15DB" w:rsidRPr="004962FD" w:rsidRDefault="009E7F6C"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773B1190" w14:textId="77777777">
        <w:trPr>
          <w:cantSplit/>
          <w:jc w:val="center"/>
        </w:trPr>
        <w:tc>
          <w:tcPr>
            <w:tcW w:w="2664" w:type="dxa"/>
            <w:tcMar>
              <w:top w:w="60" w:type="dxa"/>
              <w:left w:w="60" w:type="dxa"/>
              <w:bottom w:w="60" w:type="dxa"/>
              <w:right w:w="60" w:type="dxa"/>
            </w:tcMar>
          </w:tcPr>
          <w:p w14:paraId="07A133AC" w14:textId="1504C0E8" w:rsidR="007E15DB" w:rsidRPr="009E7F6C" w:rsidRDefault="009E7F6C" w:rsidP="00AC0E2C">
            <w:pPr>
              <w:rPr>
                <w:rFonts w:asciiTheme="majorHAnsi" w:hAnsiTheme="majorHAnsi" w:cstheme="majorHAnsi"/>
                <w:szCs w:val="20"/>
                <w:lang w:val="sr-Latn-RS"/>
              </w:rPr>
            </w:pPr>
            <w:r>
              <w:rPr>
                <w:rFonts w:asciiTheme="majorHAnsi" w:hAnsiTheme="majorHAnsi" w:cstheme="majorHAnsi"/>
                <w:szCs w:val="20"/>
              </w:rPr>
              <w:t>8. Izveštavanje</w:t>
            </w:r>
          </w:p>
        </w:tc>
        <w:tc>
          <w:tcPr>
            <w:tcW w:w="2664" w:type="dxa"/>
            <w:tcMar>
              <w:top w:w="60" w:type="dxa"/>
              <w:left w:w="60" w:type="dxa"/>
              <w:bottom w:w="60" w:type="dxa"/>
              <w:right w:w="60" w:type="dxa"/>
            </w:tcMar>
          </w:tcPr>
          <w:p w14:paraId="4E47EFA7" w14:textId="7233D832" w:rsidR="007E15DB" w:rsidRPr="004F7BD6" w:rsidRDefault="009E7F6C" w:rsidP="00AC0E2C">
            <w:pPr>
              <w:rPr>
                <w:rFonts w:asciiTheme="majorHAnsi" w:hAnsiTheme="majorHAnsi" w:cstheme="majorHAnsi"/>
                <w:szCs w:val="20"/>
                <w:lang w:val="sr-Latn-RS"/>
              </w:rPr>
            </w:pPr>
            <w:r w:rsidRPr="004F7BD6">
              <w:rPr>
                <w:rFonts w:asciiTheme="majorHAnsi" w:hAnsiTheme="majorHAnsi" w:cstheme="majorHAnsi"/>
                <w:szCs w:val="20"/>
                <w:lang w:val="sr-Latn-RS"/>
              </w:rPr>
              <w:t>Sakupljeni podaci o žalbama uključuju se u izveštaje o praćenju projekta</w:t>
            </w:r>
          </w:p>
        </w:tc>
        <w:tc>
          <w:tcPr>
            <w:tcW w:w="2664" w:type="dxa"/>
            <w:tcMar>
              <w:top w:w="60" w:type="dxa"/>
              <w:left w:w="60" w:type="dxa"/>
              <w:bottom w:w="60" w:type="dxa"/>
              <w:right w:w="60" w:type="dxa"/>
            </w:tcMar>
          </w:tcPr>
          <w:p w14:paraId="38C1ACEA" w14:textId="74B583AB" w:rsidR="007E15DB" w:rsidRPr="004962FD" w:rsidRDefault="009E7F6C" w:rsidP="00AC0E2C">
            <w:pPr>
              <w:rPr>
                <w:rFonts w:asciiTheme="majorHAnsi" w:hAnsiTheme="majorHAnsi" w:cstheme="majorHAnsi"/>
                <w:szCs w:val="20"/>
              </w:rPr>
            </w:pPr>
            <w:r w:rsidRPr="009E7F6C">
              <w:rPr>
                <w:rFonts w:asciiTheme="majorHAnsi" w:hAnsiTheme="majorHAnsi" w:cstheme="majorHAnsi"/>
                <w:szCs w:val="20"/>
              </w:rPr>
              <w:t>Polugodišnje ili prema dogovoru</w:t>
            </w:r>
          </w:p>
        </w:tc>
        <w:tc>
          <w:tcPr>
            <w:tcW w:w="2664" w:type="dxa"/>
            <w:tcMar>
              <w:top w:w="60" w:type="dxa"/>
              <w:left w:w="60" w:type="dxa"/>
              <w:bottom w:w="60" w:type="dxa"/>
              <w:right w:w="60" w:type="dxa"/>
            </w:tcMar>
          </w:tcPr>
          <w:p w14:paraId="79135F47" w14:textId="27489732" w:rsidR="007E15DB" w:rsidRPr="004962FD" w:rsidRDefault="00811B0E" w:rsidP="009E7F6C">
            <w:pPr>
              <w:rPr>
                <w:rFonts w:asciiTheme="majorHAnsi" w:hAnsiTheme="majorHAnsi" w:cstheme="majorHAnsi"/>
                <w:szCs w:val="20"/>
              </w:rPr>
            </w:pPr>
            <w:r w:rsidRPr="004962FD">
              <w:rPr>
                <w:rFonts w:asciiTheme="majorHAnsi" w:hAnsiTheme="majorHAnsi" w:cstheme="majorHAnsi"/>
                <w:szCs w:val="20"/>
              </w:rPr>
              <w:t xml:space="preserve">PIU/M&amp;E </w:t>
            </w:r>
            <w:r w:rsidR="009E7F6C">
              <w:rPr>
                <w:rFonts w:asciiTheme="majorHAnsi" w:hAnsiTheme="majorHAnsi" w:cstheme="majorHAnsi"/>
                <w:szCs w:val="20"/>
              </w:rPr>
              <w:t>stručnjak</w:t>
            </w:r>
          </w:p>
        </w:tc>
      </w:tr>
    </w:tbl>
    <w:p w14:paraId="301DBB5F" w14:textId="77777777" w:rsidR="007E15DB" w:rsidRPr="00386B69" w:rsidRDefault="007E15DB" w:rsidP="00AC0E2C">
      <w:pPr>
        <w:ind w:left="720" w:right="576"/>
        <w:rPr>
          <w:rFonts w:asciiTheme="majorHAnsi" w:hAnsiTheme="majorHAnsi" w:cstheme="majorHAnsi"/>
          <w:sz w:val="22"/>
        </w:rPr>
      </w:pPr>
    </w:p>
    <w:p w14:paraId="7FAA014D" w14:textId="22863632" w:rsidR="007E15DB" w:rsidRPr="00386B69" w:rsidRDefault="00D845F8" w:rsidP="00AC0E2C">
      <w:pPr>
        <w:spacing w:after="120" w:line="252" w:lineRule="auto"/>
        <w:ind w:left="720" w:right="576"/>
        <w:jc w:val="both"/>
        <w:rPr>
          <w:rFonts w:asciiTheme="majorHAnsi" w:hAnsiTheme="majorHAnsi" w:cstheme="majorHAnsi"/>
          <w:sz w:val="22"/>
        </w:rPr>
      </w:pPr>
      <w:r w:rsidRPr="00D845F8">
        <w:rPr>
          <w:rFonts w:asciiTheme="majorHAnsi" w:hAnsiTheme="majorHAnsi" w:cstheme="majorHAnsi"/>
          <w:sz w:val="22"/>
        </w:rPr>
        <w:t>Pojedine žalbe, naročito one koje se odnose na zaštitu podataka, sajber bezbednost ili tehničke kvarove/usluge, mogu zahtevati koordinaciju sa specijalizovanim jedinicama ili nadležnim organima i njihovo rešavanje može trajati duže. U takvim slučajevima, podnosilac žalbe će biti obavešten o očekivanom roku za rešavanje i eventualnim privremenim koracima, ukoliko su dostupni kontakt podaci.</w:t>
      </w:r>
    </w:p>
    <w:p w14:paraId="3800E65A" w14:textId="608DEA23" w:rsidR="007E15DB" w:rsidRPr="00386B69" w:rsidRDefault="00285401" w:rsidP="004962FD">
      <w:pPr>
        <w:pStyle w:val="Heading2"/>
        <w:numPr>
          <w:ilvl w:val="1"/>
          <w:numId w:val="22"/>
        </w:numPr>
        <w:spacing w:before="60" w:after="120"/>
        <w:ind w:right="576"/>
        <w:jc w:val="both"/>
        <w:rPr>
          <w:rFonts w:cstheme="majorHAnsi"/>
          <w:color w:val="auto"/>
          <w:sz w:val="22"/>
          <w:szCs w:val="22"/>
        </w:rPr>
      </w:pPr>
      <w:r w:rsidRPr="00285401">
        <w:rPr>
          <w:rFonts w:eastAsia="Arial" w:cstheme="majorHAnsi"/>
          <w:color w:val="auto"/>
          <w:sz w:val="22"/>
          <w:szCs w:val="22"/>
        </w:rPr>
        <w:t>Postupanje po pritužbama u vezi sa digitalnim uslugama, pristupačnošću, zaštitom podataka, sajber bezbednošću i veštačkom inteligencijom</w:t>
      </w:r>
    </w:p>
    <w:p w14:paraId="1591DC72" w14:textId="5349572B" w:rsidR="007E15DB" w:rsidRPr="00386B69" w:rsidRDefault="00285401" w:rsidP="00AC0E2C">
      <w:pPr>
        <w:spacing w:after="120" w:line="252" w:lineRule="auto"/>
        <w:ind w:left="720" w:right="576"/>
        <w:jc w:val="both"/>
        <w:rPr>
          <w:rFonts w:asciiTheme="majorHAnsi" w:hAnsiTheme="majorHAnsi" w:cstheme="majorHAnsi"/>
          <w:sz w:val="22"/>
        </w:rPr>
      </w:pPr>
      <w:r w:rsidRPr="00285401">
        <w:rPr>
          <w:rFonts w:asciiTheme="majorHAnsi" w:hAnsiTheme="majorHAnsi" w:cstheme="majorHAnsi"/>
          <w:sz w:val="22"/>
        </w:rPr>
        <w:t xml:space="preserve">S obzirom na digitalnu prirodu SERVIS-a, mehanizam za rešavanje pritužbi (GRM) </w:t>
      </w:r>
      <w:r>
        <w:rPr>
          <w:rFonts w:asciiTheme="majorHAnsi" w:hAnsiTheme="majorHAnsi" w:cstheme="majorHAnsi"/>
          <w:sz w:val="22"/>
        </w:rPr>
        <w:t>uključuje</w:t>
      </w:r>
      <w:r w:rsidRPr="00285401">
        <w:rPr>
          <w:rFonts w:asciiTheme="majorHAnsi" w:hAnsiTheme="majorHAnsi" w:cstheme="majorHAnsi"/>
          <w:sz w:val="22"/>
        </w:rPr>
        <w:t xml:space="preserve"> postupke za evidentiranje i prosleđivanje posebnih vrsta pritužbi, </w:t>
      </w:r>
      <w:r>
        <w:rPr>
          <w:rFonts w:asciiTheme="majorHAnsi" w:hAnsiTheme="majorHAnsi" w:cstheme="majorHAnsi"/>
          <w:sz w:val="22"/>
        </w:rPr>
        <w:t>u koji spadaju</w:t>
      </w:r>
      <w:r w:rsidR="00811B0E" w:rsidRPr="00386B69">
        <w:rPr>
          <w:rFonts w:asciiTheme="majorHAnsi" w:hAnsiTheme="majorHAnsi" w:cstheme="majorHAnsi"/>
          <w:sz w:val="22"/>
        </w:rPr>
        <w:t>:</w:t>
      </w:r>
    </w:p>
    <w:p w14:paraId="17C2BB69" w14:textId="0C80566C" w:rsidR="007E15DB" w:rsidRPr="00386B69" w:rsidRDefault="00285401" w:rsidP="00AC0E2C">
      <w:pPr>
        <w:pStyle w:val="ListBullet"/>
        <w:spacing w:after="120" w:line="252" w:lineRule="auto"/>
        <w:ind w:left="720" w:right="576"/>
        <w:jc w:val="both"/>
        <w:rPr>
          <w:rFonts w:asciiTheme="majorHAnsi" w:hAnsiTheme="majorHAnsi" w:cstheme="majorHAnsi"/>
          <w:sz w:val="22"/>
        </w:rPr>
      </w:pPr>
      <w:r w:rsidRPr="00285401">
        <w:rPr>
          <w:rFonts w:asciiTheme="majorHAnsi" w:hAnsiTheme="majorHAnsi" w:cstheme="majorHAnsi"/>
          <w:sz w:val="22"/>
        </w:rPr>
        <w:t>nemogućnost pristupa ili korišćenja digitalnih usluga podržanih projektom</w:t>
      </w:r>
      <w:r w:rsidR="00811B0E" w:rsidRPr="00386B69">
        <w:rPr>
          <w:rFonts w:asciiTheme="majorHAnsi" w:hAnsiTheme="majorHAnsi" w:cstheme="majorHAnsi"/>
          <w:sz w:val="22"/>
        </w:rPr>
        <w:t>;</w:t>
      </w:r>
    </w:p>
    <w:p w14:paraId="249C7540" w14:textId="04F31E8D" w:rsidR="007E15DB" w:rsidRPr="00386B69" w:rsidRDefault="00285401" w:rsidP="00AC0E2C">
      <w:pPr>
        <w:pStyle w:val="ListBullet"/>
        <w:spacing w:after="120" w:line="252" w:lineRule="auto"/>
        <w:ind w:left="720" w:right="576"/>
        <w:jc w:val="both"/>
        <w:rPr>
          <w:rFonts w:asciiTheme="majorHAnsi" w:hAnsiTheme="majorHAnsi" w:cstheme="majorHAnsi"/>
          <w:sz w:val="22"/>
        </w:rPr>
      </w:pPr>
      <w:r w:rsidRPr="00285401">
        <w:rPr>
          <w:rFonts w:asciiTheme="majorHAnsi" w:hAnsiTheme="majorHAnsi" w:cstheme="majorHAnsi"/>
          <w:sz w:val="22"/>
        </w:rPr>
        <w:t>poteškoće prilikom registracije, uključivanja korisnika (onboarding) ili korišćenja Digitalnog novčanika</w:t>
      </w:r>
      <w:r w:rsidR="00811B0E" w:rsidRPr="00386B69">
        <w:rPr>
          <w:rFonts w:asciiTheme="majorHAnsi" w:hAnsiTheme="majorHAnsi" w:cstheme="majorHAnsi"/>
          <w:sz w:val="22"/>
        </w:rPr>
        <w:t>;</w:t>
      </w:r>
    </w:p>
    <w:p w14:paraId="214AE461" w14:textId="2018F949" w:rsidR="007E15DB" w:rsidRPr="004F7BD6" w:rsidRDefault="00285401"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prepreke u pristupačnosti za osobe sa invaliditetom ili korisnike sa niskim nivoom digitalne pismenosti</w:t>
      </w:r>
      <w:r w:rsidR="00811B0E" w:rsidRPr="004F7BD6">
        <w:rPr>
          <w:rFonts w:asciiTheme="majorHAnsi" w:hAnsiTheme="majorHAnsi" w:cstheme="majorHAnsi"/>
          <w:sz w:val="22"/>
          <w:lang w:val="it-IT"/>
        </w:rPr>
        <w:t>;</w:t>
      </w:r>
    </w:p>
    <w:p w14:paraId="512825B1" w14:textId="5EB1D35D" w:rsidR="007E15DB" w:rsidRPr="004F7BD6" w:rsidRDefault="00285401"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nedostatak alternativnih ili asistiranih kanala pristupa</w:t>
      </w:r>
      <w:r w:rsidR="00811B0E" w:rsidRPr="004F7BD6">
        <w:rPr>
          <w:rFonts w:asciiTheme="majorHAnsi" w:hAnsiTheme="majorHAnsi" w:cstheme="majorHAnsi"/>
          <w:sz w:val="22"/>
          <w:lang w:val="it-IT"/>
        </w:rPr>
        <w:t>;</w:t>
      </w:r>
    </w:p>
    <w:p w14:paraId="0C3AE9F2" w14:textId="65638325" w:rsidR="007E15DB" w:rsidRPr="004F7BD6" w:rsidRDefault="00285401"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zabrinutosti u vezi sa ličnim podacima, pristankom, privatnošću ili percipiranom zloupotrebom informacija</w:t>
      </w:r>
      <w:r w:rsidR="00811B0E" w:rsidRPr="004F7BD6">
        <w:rPr>
          <w:rFonts w:asciiTheme="majorHAnsi" w:hAnsiTheme="majorHAnsi" w:cstheme="majorHAnsi"/>
          <w:sz w:val="22"/>
          <w:lang w:val="it-IT"/>
        </w:rPr>
        <w:t>;</w:t>
      </w:r>
    </w:p>
    <w:p w14:paraId="4B2D98F1" w14:textId="305F05E2" w:rsidR="007E15DB" w:rsidRPr="004F7BD6" w:rsidRDefault="00D252E5"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sumnje na incidente sajber bezbednosti povezane sa uslugama podržanim projektom</w:t>
      </w:r>
      <w:r w:rsidR="00811B0E" w:rsidRPr="004F7BD6">
        <w:rPr>
          <w:rFonts w:asciiTheme="majorHAnsi" w:hAnsiTheme="majorHAnsi" w:cstheme="majorHAnsi"/>
          <w:sz w:val="22"/>
          <w:lang w:val="it-IT"/>
        </w:rPr>
        <w:t>;</w:t>
      </w:r>
    </w:p>
    <w:p w14:paraId="2F513FF3" w14:textId="6DF53EF5" w:rsidR="007E15DB" w:rsidRPr="004F7BD6" w:rsidRDefault="00D252E5"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pitanja u vezi sa izlaznim rezultatima zasnovanim na veštačkoj inteligenciji, automatizovanim odlukama, greškama ili nedostatkom jasnoće u vezi sa pravnim sredstvima</w:t>
      </w:r>
      <w:r w:rsidR="00811B0E" w:rsidRPr="004F7BD6">
        <w:rPr>
          <w:rFonts w:asciiTheme="majorHAnsi" w:hAnsiTheme="majorHAnsi" w:cstheme="majorHAnsi"/>
          <w:sz w:val="22"/>
          <w:lang w:val="it-IT"/>
        </w:rPr>
        <w:t xml:space="preserve">; </w:t>
      </w:r>
      <w:r w:rsidRPr="004F7BD6">
        <w:rPr>
          <w:rFonts w:asciiTheme="majorHAnsi" w:hAnsiTheme="majorHAnsi" w:cstheme="majorHAnsi"/>
          <w:sz w:val="22"/>
          <w:lang w:val="it-IT"/>
        </w:rPr>
        <w:t>i</w:t>
      </w:r>
    </w:p>
    <w:p w14:paraId="5B0F246B" w14:textId="164D987A" w:rsidR="007E15DB" w:rsidRPr="004F7BD6" w:rsidRDefault="001D6AC9"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pitanja i pritužbe u vezi sa komunikacijom ili uključivanjem zainteresovanih strana</w:t>
      </w:r>
      <w:r w:rsidR="00811B0E" w:rsidRPr="004F7BD6">
        <w:rPr>
          <w:rFonts w:asciiTheme="majorHAnsi" w:hAnsiTheme="majorHAnsi" w:cstheme="majorHAnsi"/>
          <w:sz w:val="22"/>
          <w:lang w:val="it-IT"/>
        </w:rPr>
        <w:t>.</w:t>
      </w:r>
    </w:p>
    <w:p w14:paraId="6EF50039" w14:textId="583E01FF" w:rsidR="007E15DB" w:rsidRPr="004F7BD6" w:rsidRDefault="00FD42D2" w:rsidP="00AC0E2C">
      <w:pPr>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Pritužbe koje se odnose na zaštitu podataka i sajber bezbednost rešavaće se uz odgovarajući nivo poverljivosti i, po potrebi, biće upućene nadležnim organima ili odgovornim institucionalnim jedinicama u skladu sa zakonodavstvom Republike Srbije i primenjivim projektnim procedurama. Pritužbe povezane sa veštačkom inteligencijom biće prosleđene nadležnom vlasniku usluge ili tehničkom timu radi razmatranja, davanja objašnjenja i preduzimanja korektivnih mera, po potrebi</w:t>
      </w:r>
      <w:r w:rsidR="00811B0E" w:rsidRPr="004F7BD6">
        <w:rPr>
          <w:rFonts w:asciiTheme="majorHAnsi" w:hAnsiTheme="majorHAnsi" w:cstheme="majorHAnsi"/>
          <w:sz w:val="22"/>
          <w:lang w:val="it-IT"/>
        </w:rPr>
        <w:t>.</w:t>
      </w:r>
    </w:p>
    <w:p w14:paraId="4816855D" w14:textId="12F3ED10" w:rsidR="007E15DB" w:rsidRPr="00386B69" w:rsidRDefault="003435E0" w:rsidP="004962FD">
      <w:pPr>
        <w:pStyle w:val="Heading2"/>
        <w:numPr>
          <w:ilvl w:val="1"/>
          <w:numId w:val="22"/>
        </w:numPr>
        <w:spacing w:before="60" w:after="120"/>
        <w:ind w:right="576"/>
        <w:jc w:val="both"/>
        <w:rPr>
          <w:rFonts w:cstheme="majorHAnsi"/>
          <w:color w:val="auto"/>
          <w:sz w:val="22"/>
          <w:szCs w:val="22"/>
        </w:rPr>
      </w:pPr>
      <w:r w:rsidRPr="003435E0">
        <w:rPr>
          <w:rFonts w:eastAsia="Arial" w:cstheme="majorHAnsi"/>
          <w:color w:val="auto"/>
          <w:sz w:val="22"/>
          <w:szCs w:val="22"/>
        </w:rPr>
        <w:lastRenderedPageBreak/>
        <w:t>Anonimne pritužbe i poverljivost</w:t>
      </w:r>
    </w:p>
    <w:p w14:paraId="230727F7" w14:textId="257BA481" w:rsidR="007E15DB" w:rsidRPr="00386B69" w:rsidRDefault="003435E0" w:rsidP="00AC0E2C">
      <w:pPr>
        <w:spacing w:after="120" w:line="252" w:lineRule="auto"/>
        <w:ind w:left="720" w:right="576"/>
        <w:jc w:val="both"/>
        <w:rPr>
          <w:rFonts w:asciiTheme="majorHAnsi" w:hAnsiTheme="majorHAnsi" w:cstheme="majorHAnsi"/>
          <w:sz w:val="22"/>
        </w:rPr>
      </w:pPr>
      <w:r w:rsidRPr="003435E0">
        <w:rPr>
          <w:rFonts w:asciiTheme="majorHAnsi" w:hAnsiTheme="majorHAnsi" w:cstheme="majorHAnsi"/>
          <w:sz w:val="22"/>
        </w:rPr>
        <w:t>GRM će, gde je to izvodljivo, omogućiti podnošenje anonimnih pritužbi. Pritužbe će se obrađivati poverljivo i objektivno. Lični podaci prikupljeni kroz GRM koristiće se isključivo u svrhu rešavanja pritužbi i izveštavanja, u skladu sa primenjivim zahtevima zaštite podataka</w:t>
      </w:r>
      <w:r w:rsidR="00811B0E" w:rsidRPr="00386B69">
        <w:rPr>
          <w:rFonts w:asciiTheme="majorHAnsi" w:hAnsiTheme="majorHAnsi" w:cstheme="majorHAnsi"/>
          <w:sz w:val="22"/>
        </w:rPr>
        <w:t>.</w:t>
      </w:r>
    </w:p>
    <w:p w14:paraId="6494E6C6" w14:textId="30E567F5" w:rsidR="007E15DB" w:rsidRPr="00386B69" w:rsidRDefault="003435E0" w:rsidP="00AC0E2C">
      <w:pPr>
        <w:spacing w:after="120" w:line="252" w:lineRule="auto"/>
        <w:ind w:left="720" w:right="576"/>
        <w:jc w:val="both"/>
        <w:rPr>
          <w:rFonts w:asciiTheme="majorHAnsi" w:hAnsiTheme="majorHAnsi" w:cstheme="majorHAnsi"/>
          <w:sz w:val="22"/>
        </w:rPr>
      </w:pPr>
      <w:r w:rsidRPr="003435E0">
        <w:rPr>
          <w:rFonts w:asciiTheme="majorHAnsi" w:hAnsiTheme="majorHAnsi" w:cstheme="majorHAnsi"/>
          <w:sz w:val="22"/>
        </w:rPr>
        <w:t>Nijedna zainteresovana strana neće biti izložena odmazdi, diskriminaciji ili nepovoljnom postupanju zbog podnošenja pritužbe, pitanja ili povratne informacije</w:t>
      </w:r>
      <w:r w:rsidR="00811B0E" w:rsidRPr="00386B69">
        <w:rPr>
          <w:rFonts w:asciiTheme="majorHAnsi" w:hAnsiTheme="majorHAnsi" w:cstheme="majorHAnsi"/>
          <w:sz w:val="22"/>
        </w:rPr>
        <w:t>.</w:t>
      </w:r>
    </w:p>
    <w:p w14:paraId="3F66350A" w14:textId="0D9971B3" w:rsidR="007E15DB" w:rsidRPr="00386B69" w:rsidRDefault="003435E0" w:rsidP="004962FD">
      <w:pPr>
        <w:pStyle w:val="Heading2"/>
        <w:numPr>
          <w:ilvl w:val="1"/>
          <w:numId w:val="22"/>
        </w:numPr>
        <w:spacing w:before="60" w:after="120"/>
        <w:ind w:right="576"/>
        <w:jc w:val="both"/>
        <w:rPr>
          <w:rFonts w:cstheme="majorHAnsi"/>
          <w:color w:val="auto"/>
          <w:sz w:val="22"/>
          <w:szCs w:val="22"/>
        </w:rPr>
      </w:pPr>
      <w:r>
        <w:rPr>
          <w:rFonts w:eastAsia="Arial" w:cstheme="majorHAnsi"/>
          <w:color w:val="auto"/>
          <w:sz w:val="22"/>
          <w:szCs w:val="22"/>
        </w:rPr>
        <w:t>Monitoring i izveštavanje</w:t>
      </w:r>
    </w:p>
    <w:p w14:paraId="4F0D84D1" w14:textId="6E0B202C" w:rsidR="007E15DB" w:rsidRPr="004F7BD6" w:rsidRDefault="003435E0" w:rsidP="00AC0E2C">
      <w:pPr>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PIU će voditi registar pritužbi u kojem će biti evidentirane primljene pritužbe, kategorije problema, status predmeta, preduzete mere i rokovi za rešavanje. Objedinjeni podaci iz GRM-a biće uključeni u izveštaje o praćenju projekta i koristiće se za identifikovanje ponavljajućih problema i unapređenje sprovođenja projekta.</w:t>
      </w:r>
    </w:p>
    <w:p w14:paraId="54AD2B01" w14:textId="3D15D15F" w:rsidR="007E15DB" w:rsidRPr="004F7BD6" w:rsidRDefault="003435E0" w:rsidP="00AC0E2C">
      <w:pPr>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Javno izveštavanje sadržaće isključivo zbirne informacije i neće otkrivati lične niti poverljive podatke</w:t>
      </w:r>
      <w:r w:rsidR="00811B0E" w:rsidRPr="004F7BD6">
        <w:rPr>
          <w:rFonts w:asciiTheme="majorHAnsi" w:hAnsiTheme="majorHAnsi" w:cstheme="majorHAnsi"/>
          <w:sz w:val="22"/>
          <w:lang w:val="it-IT"/>
        </w:rPr>
        <w:t>.</w:t>
      </w:r>
    </w:p>
    <w:p w14:paraId="7B924D36" w14:textId="4640F952" w:rsidR="00BC2E54" w:rsidRPr="004F7BD6" w:rsidRDefault="003A17C1" w:rsidP="00495BBE">
      <w:pPr>
        <w:pStyle w:val="Heading2"/>
        <w:numPr>
          <w:ilvl w:val="1"/>
          <w:numId w:val="22"/>
        </w:numPr>
        <w:spacing w:before="60" w:after="120"/>
        <w:ind w:right="576"/>
        <w:jc w:val="both"/>
        <w:rPr>
          <w:rFonts w:asciiTheme="minorHAnsi" w:hAnsiTheme="minorHAnsi" w:cstheme="minorHAnsi"/>
          <w:b w:val="0"/>
          <w:bCs w:val="0"/>
          <w:color w:val="auto"/>
          <w:sz w:val="22"/>
          <w:szCs w:val="22"/>
          <w:lang w:val="it-IT"/>
        </w:rPr>
      </w:pPr>
      <w:r w:rsidRPr="004F7BD6">
        <w:rPr>
          <w:rFonts w:asciiTheme="minorHAnsi" w:hAnsiTheme="minorHAnsi" w:cstheme="minorHAnsi"/>
          <w:color w:val="auto"/>
          <w:sz w:val="22"/>
          <w:szCs w:val="22"/>
          <w:lang w:val="it-IT"/>
        </w:rPr>
        <w:t>Služba za rešavanje pritužbi Svetske banke</w:t>
      </w:r>
    </w:p>
    <w:p w14:paraId="0293EF35" w14:textId="4824866B" w:rsidR="00394319" w:rsidRPr="004F7BD6" w:rsidRDefault="00394319" w:rsidP="00394319">
      <w:pPr>
        <w:jc w:val="both"/>
        <w:rPr>
          <w:rFonts w:cstheme="minorHAnsi"/>
          <w:lang w:val="it-IT"/>
        </w:rPr>
      </w:pPr>
      <w:r w:rsidRPr="004F7BD6">
        <w:rPr>
          <w:rFonts w:cstheme="minorHAnsi"/>
          <w:lang w:val="it-IT"/>
        </w:rPr>
        <w:t>Zajednice i pojedinci koji smatraju da su negativno pogođeni projektom koji podržava</w:t>
      </w:r>
      <w:r w:rsidR="003A17C1" w:rsidRPr="004F7BD6">
        <w:rPr>
          <w:rFonts w:cstheme="minorHAnsi"/>
          <w:lang w:val="it-IT"/>
        </w:rPr>
        <w:t xml:space="preserve"> Svetska banka</w:t>
      </w:r>
      <w:r w:rsidRPr="004F7BD6">
        <w:rPr>
          <w:rFonts w:cstheme="minorHAnsi"/>
          <w:lang w:val="it-IT"/>
        </w:rPr>
        <w:t xml:space="preserve"> mogu podneti pritužbe postojećim projektnim mehanizmima za rešavanje pritužbi (GRM) ili Službi za rešavanje pritužbi Svetske banke (GRS).</w:t>
      </w:r>
    </w:p>
    <w:p w14:paraId="004C7CFB" w14:textId="7BA9E49A" w:rsidR="00394319" w:rsidRPr="004F7BD6" w:rsidRDefault="00394319" w:rsidP="00394319">
      <w:pPr>
        <w:jc w:val="both"/>
        <w:rPr>
          <w:rFonts w:cstheme="minorHAnsi"/>
          <w:lang w:val="it-IT"/>
        </w:rPr>
      </w:pPr>
      <w:r w:rsidRPr="004F7BD6">
        <w:rPr>
          <w:rFonts w:cstheme="minorHAnsi"/>
          <w:lang w:val="it-IT"/>
        </w:rPr>
        <w:t xml:space="preserve">GRS </w:t>
      </w:r>
      <w:r w:rsidR="003A17C1" w:rsidRPr="004F7BD6">
        <w:rPr>
          <w:rFonts w:cstheme="minorHAnsi"/>
          <w:lang w:val="it-IT"/>
        </w:rPr>
        <w:t>je odgovoran za to da</w:t>
      </w:r>
      <w:r w:rsidRPr="004F7BD6">
        <w:rPr>
          <w:rFonts w:cstheme="minorHAnsi"/>
          <w:lang w:val="it-IT"/>
        </w:rPr>
        <w:t xml:space="preserve"> se primljen</w:t>
      </w:r>
      <w:r w:rsidR="003A17C1" w:rsidRPr="004F7BD6">
        <w:rPr>
          <w:rFonts w:cstheme="minorHAnsi"/>
          <w:lang w:val="it-IT"/>
        </w:rPr>
        <w:t>e pritužbe blagovremeno razmotre</w:t>
      </w:r>
      <w:r w:rsidRPr="004F7BD6">
        <w:rPr>
          <w:rFonts w:cstheme="minorHAnsi"/>
          <w:lang w:val="it-IT"/>
        </w:rPr>
        <w:t xml:space="preserve"> kako bi se </w:t>
      </w:r>
      <w:r w:rsidR="003A17C1" w:rsidRPr="004F7BD6">
        <w:rPr>
          <w:rFonts w:cstheme="minorHAnsi"/>
          <w:lang w:val="it-IT"/>
        </w:rPr>
        <w:t>rešavala</w:t>
      </w:r>
      <w:r w:rsidRPr="004F7BD6">
        <w:rPr>
          <w:rFonts w:cstheme="minorHAnsi"/>
          <w:lang w:val="it-IT"/>
        </w:rPr>
        <w:t xml:space="preserve"> pitanja u vezi sa projektom. Zajednice i pojedinci pogođeni projektom takođe mogu podneti pritužbu nezavisnom </w:t>
      </w:r>
      <w:r w:rsidR="00C861AC">
        <w:rPr>
          <w:rFonts w:cstheme="minorHAnsi"/>
          <w:lang w:val="it-IT"/>
        </w:rPr>
        <w:t>kontrolnom telu Svetske banke, koje</w:t>
      </w:r>
      <w:r w:rsidRPr="004F7BD6">
        <w:rPr>
          <w:rFonts w:cstheme="minorHAnsi"/>
          <w:lang w:val="it-IT"/>
        </w:rPr>
        <w:t xml:space="preserve"> utvrđuje da li je došlo do štete, ili bi moglo doći do štete, usled neusklađenosti Svetske banke sa njenim politikama i procedurama.</w:t>
      </w:r>
    </w:p>
    <w:p w14:paraId="1163498F" w14:textId="5A3129CD" w:rsidR="00394319" w:rsidRPr="004F7BD6" w:rsidRDefault="00394319" w:rsidP="00394319">
      <w:pPr>
        <w:jc w:val="both"/>
        <w:rPr>
          <w:rFonts w:cstheme="minorHAnsi"/>
          <w:lang w:val="it-IT"/>
        </w:rPr>
      </w:pPr>
      <w:r w:rsidRPr="004F7BD6">
        <w:rPr>
          <w:rFonts w:cstheme="minorHAnsi"/>
          <w:lang w:val="it-IT"/>
        </w:rPr>
        <w:t xml:space="preserve">Pritužbe se mogu podneti u bilo kom trenutku nakon što </w:t>
      </w:r>
      <w:r w:rsidR="00625BEB" w:rsidRPr="004F7BD6">
        <w:rPr>
          <w:rFonts w:cstheme="minorHAnsi"/>
          <w:lang w:val="it-IT"/>
        </w:rPr>
        <w:t>se sa</w:t>
      </w:r>
      <w:r w:rsidRPr="004F7BD6">
        <w:rPr>
          <w:rFonts w:cstheme="minorHAnsi"/>
          <w:lang w:val="it-IT"/>
        </w:rPr>
        <w:t xml:space="preserve"> </w:t>
      </w:r>
      <w:r w:rsidR="00625BEB" w:rsidRPr="004F7BD6">
        <w:rPr>
          <w:rFonts w:cstheme="minorHAnsi"/>
          <w:lang w:val="it-IT"/>
        </w:rPr>
        <w:t>problemima</w:t>
      </w:r>
      <w:r w:rsidRPr="004F7BD6">
        <w:rPr>
          <w:rFonts w:cstheme="minorHAnsi"/>
          <w:lang w:val="it-IT"/>
        </w:rPr>
        <w:t xml:space="preserve"> </w:t>
      </w:r>
      <w:r w:rsidR="00625BEB" w:rsidRPr="004F7BD6">
        <w:rPr>
          <w:rFonts w:cstheme="minorHAnsi"/>
          <w:lang w:val="it-IT"/>
        </w:rPr>
        <w:t>direktno upozna Svetska banka</w:t>
      </w:r>
      <w:r w:rsidRPr="004F7BD6">
        <w:rPr>
          <w:rFonts w:cstheme="minorHAnsi"/>
          <w:lang w:val="it-IT"/>
        </w:rPr>
        <w:t xml:space="preserve"> i nakon što je rukovodstvu Banke data mogućnost da odgovori.</w:t>
      </w:r>
    </w:p>
    <w:p w14:paraId="36A9147E" w14:textId="3019E847" w:rsidR="00BC2E54" w:rsidRPr="004F7BD6" w:rsidRDefault="00394319" w:rsidP="00BC2E54">
      <w:pPr>
        <w:jc w:val="both"/>
        <w:rPr>
          <w:rFonts w:cstheme="minorHAnsi"/>
          <w:lang w:val="it-IT"/>
        </w:rPr>
      </w:pPr>
      <w:r w:rsidRPr="004F7BD6">
        <w:rPr>
          <w:rFonts w:cstheme="minorHAnsi"/>
          <w:lang w:val="it-IT"/>
        </w:rPr>
        <w:t xml:space="preserve">Za informacije o tome kako podneti pritužbu Službi za rešavanje pritužbi Svetske banke (GRS), posetite: </w:t>
      </w:r>
      <w:hyperlink r:id="rId9" w:tgtFrame="_new" w:history="1">
        <w:r w:rsidRPr="004F7BD6">
          <w:rPr>
            <w:rStyle w:val="Hyperlink"/>
            <w:rFonts w:cstheme="minorHAnsi"/>
            <w:lang w:val="it-IT"/>
          </w:rPr>
          <w:t>http://www.worldbank.org/en/projects-operations/products-and-services/grievance-redress-service</w:t>
        </w:r>
      </w:hyperlink>
    </w:p>
    <w:p w14:paraId="06314B11" w14:textId="5800AED4" w:rsidR="007E15DB" w:rsidRPr="00611C08" w:rsidRDefault="00A7035D" w:rsidP="004962FD">
      <w:pPr>
        <w:pStyle w:val="ListParagraph"/>
        <w:numPr>
          <w:ilvl w:val="2"/>
          <w:numId w:val="20"/>
        </w:numPr>
        <w:ind w:right="576"/>
        <w:rPr>
          <w:rFonts w:asciiTheme="majorHAnsi" w:hAnsiTheme="majorHAnsi" w:cstheme="majorHAnsi"/>
          <w:b/>
          <w:bCs/>
          <w:sz w:val="22"/>
        </w:rPr>
      </w:pPr>
      <w:r>
        <w:rPr>
          <w:rFonts w:asciiTheme="majorHAnsi" w:hAnsiTheme="majorHAnsi" w:cstheme="majorHAnsi"/>
          <w:b/>
          <w:bCs/>
          <w:sz w:val="22"/>
        </w:rPr>
        <w:t>Monitoring I izveštavanje</w:t>
      </w:r>
    </w:p>
    <w:p w14:paraId="2C19816D" w14:textId="6EE7643F" w:rsidR="007E15DB" w:rsidRPr="00386B69" w:rsidRDefault="00C2625D" w:rsidP="004962FD">
      <w:pPr>
        <w:pStyle w:val="Heading2"/>
        <w:numPr>
          <w:ilvl w:val="1"/>
          <w:numId w:val="23"/>
        </w:numPr>
        <w:spacing w:before="60" w:after="120"/>
        <w:ind w:right="576"/>
        <w:jc w:val="both"/>
        <w:rPr>
          <w:rFonts w:cstheme="majorHAnsi"/>
          <w:color w:val="auto"/>
          <w:sz w:val="22"/>
          <w:szCs w:val="22"/>
        </w:rPr>
      </w:pPr>
      <w:r>
        <w:rPr>
          <w:rFonts w:eastAsia="Arial" w:cstheme="majorHAnsi"/>
          <w:color w:val="auto"/>
          <w:sz w:val="22"/>
          <w:szCs w:val="22"/>
        </w:rPr>
        <w:t>Praćenje sprovođenja</w:t>
      </w:r>
      <w:r w:rsidR="00811B0E" w:rsidRPr="00386B69">
        <w:rPr>
          <w:rFonts w:eastAsia="Arial" w:cstheme="majorHAnsi"/>
          <w:color w:val="auto"/>
          <w:sz w:val="22"/>
          <w:szCs w:val="22"/>
        </w:rPr>
        <w:t xml:space="preserve"> SEP</w:t>
      </w:r>
      <w:r>
        <w:rPr>
          <w:rFonts w:eastAsia="Arial" w:cstheme="majorHAnsi"/>
          <w:color w:val="auto"/>
          <w:sz w:val="22"/>
          <w:szCs w:val="22"/>
        </w:rPr>
        <w:t>-a</w:t>
      </w:r>
      <w:r w:rsidR="00811B0E" w:rsidRPr="00386B69">
        <w:rPr>
          <w:rFonts w:eastAsia="Arial" w:cstheme="majorHAnsi"/>
          <w:color w:val="auto"/>
          <w:sz w:val="22"/>
          <w:szCs w:val="22"/>
        </w:rPr>
        <w:t xml:space="preserve"> </w:t>
      </w:r>
    </w:p>
    <w:p w14:paraId="6986F98D" w14:textId="11347E71" w:rsidR="007E15DB" w:rsidRPr="004F7BD6" w:rsidRDefault="00C2625D" w:rsidP="00AC0E2C">
      <w:pPr>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PIU će pratiti sprovođenje SEP-a tokom pripreme i implementacije projekta. Praćenje će biti usmereno na to da li se aktivnosti uključivanja zainteresovanih strana sprovode prema planu, da li se dopire do ranjivih ili nedovoljno obuhvaćenih grupa, da li se pritužbe rešavaju blagovremeno i da li se povratne informacije zainteresovanih strana koriste za unapređenje sprovođenja projekta</w:t>
      </w:r>
      <w:r w:rsidR="00811B0E" w:rsidRPr="004F7BD6">
        <w:rPr>
          <w:rFonts w:asciiTheme="majorHAnsi" w:hAnsiTheme="majorHAnsi" w:cstheme="majorHAnsi"/>
          <w:sz w:val="22"/>
          <w:lang w:val="it-IT"/>
        </w:rPr>
        <w:t>.</w:t>
      </w:r>
    </w:p>
    <w:p w14:paraId="7A2096F2" w14:textId="50939B3C" w:rsidR="007E15DB" w:rsidRPr="004F7BD6" w:rsidRDefault="00C2625D" w:rsidP="00AC0E2C">
      <w:pPr>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Koordinaciju vrši PIU, uz pomoć stručnjaka za društvena pitanja, tima za komunikacije, stručnjaka za monitoring i evaluaciju (M&amp;E), tehničkih timova i uključenih resornih ministarstava</w:t>
      </w:r>
      <w:r w:rsidR="00811B0E" w:rsidRPr="004F7BD6">
        <w:rPr>
          <w:rFonts w:asciiTheme="majorHAnsi" w:hAnsiTheme="majorHAnsi" w:cstheme="majorHAnsi"/>
          <w:sz w:val="22"/>
          <w:lang w:val="it-IT"/>
        </w:rPr>
        <w:t>.</w:t>
      </w:r>
    </w:p>
    <w:p w14:paraId="4F4BC45D" w14:textId="0D1EC24D" w:rsidR="007E15DB" w:rsidRPr="00386B69" w:rsidRDefault="00C2625D" w:rsidP="004962FD">
      <w:pPr>
        <w:pStyle w:val="Heading2"/>
        <w:numPr>
          <w:ilvl w:val="1"/>
          <w:numId w:val="23"/>
        </w:numPr>
        <w:spacing w:before="60" w:after="120"/>
        <w:ind w:right="576"/>
        <w:jc w:val="both"/>
        <w:rPr>
          <w:rFonts w:cstheme="majorHAnsi"/>
          <w:color w:val="auto"/>
          <w:sz w:val="22"/>
          <w:szCs w:val="22"/>
        </w:rPr>
      </w:pPr>
      <w:r>
        <w:rPr>
          <w:rFonts w:eastAsia="Arial" w:cstheme="majorHAnsi"/>
          <w:color w:val="auto"/>
          <w:sz w:val="22"/>
          <w:szCs w:val="22"/>
        </w:rPr>
        <w:t>Izveštavanje zainteresovanih strana</w:t>
      </w:r>
    </w:p>
    <w:p w14:paraId="28B906C4" w14:textId="6C071565" w:rsidR="007E15DB" w:rsidRPr="00386B69" w:rsidRDefault="00C2625D" w:rsidP="00AC0E2C">
      <w:pPr>
        <w:spacing w:after="120" w:line="252" w:lineRule="auto"/>
        <w:ind w:left="720" w:right="576"/>
        <w:jc w:val="both"/>
        <w:rPr>
          <w:rFonts w:asciiTheme="majorHAnsi" w:hAnsiTheme="majorHAnsi" w:cstheme="majorHAnsi"/>
          <w:sz w:val="22"/>
        </w:rPr>
      </w:pPr>
      <w:r w:rsidRPr="00C2625D">
        <w:rPr>
          <w:rFonts w:asciiTheme="majorHAnsi" w:hAnsiTheme="majorHAnsi" w:cstheme="majorHAnsi"/>
          <w:sz w:val="22"/>
        </w:rPr>
        <w:t>Projekat će izveštavati zainteresovane strane o ključnim rezul</w:t>
      </w:r>
      <w:r>
        <w:rPr>
          <w:rFonts w:asciiTheme="majorHAnsi" w:hAnsiTheme="majorHAnsi" w:cstheme="majorHAnsi"/>
          <w:sz w:val="22"/>
        </w:rPr>
        <w:t xml:space="preserve">tatima aktivnosti uključivanja i </w:t>
      </w:r>
      <w:r w:rsidRPr="00C2625D">
        <w:rPr>
          <w:rFonts w:asciiTheme="majorHAnsi" w:hAnsiTheme="majorHAnsi" w:cstheme="majorHAnsi"/>
          <w:sz w:val="22"/>
        </w:rPr>
        <w:t>način</w:t>
      </w:r>
      <w:r>
        <w:rPr>
          <w:rFonts w:asciiTheme="majorHAnsi" w:hAnsiTheme="majorHAnsi" w:cstheme="majorHAnsi"/>
          <w:sz w:val="22"/>
        </w:rPr>
        <w:t>u</w:t>
      </w:r>
      <w:r w:rsidRPr="00C2625D">
        <w:rPr>
          <w:rFonts w:asciiTheme="majorHAnsi" w:hAnsiTheme="majorHAnsi" w:cstheme="majorHAnsi"/>
          <w:sz w:val="22"/>
        </w:rPr>
        <w:t xml:space="preserve"> na koji su povratne informacije razmotrene ili uzete u obzir. Izveštavanje može biti sprovedeno putem</w:t>
      </w:r>
      <w:r w:rsidR="00811B0E" w:rsidRPr="00386B69">
        <w:rPr>
          <w:rFonts w:asciiTheme="majorHAnsi" w:hAnsiTheme="majorHAnsi" w:cstheme="majorHAnsi"/>
          <w:sz w:val="22"/>
        </w:rPr>
        <w:t>:</w:t>
      </w:r>
    </w:p>
    <w:p w14:paraId="5D456505" w14:textId="45F0DFFE" w:rsidR="007E15DB" w:rsidRPr="004F7BD6" w:rsidRDefault="008B206F"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ažuriranja na internet stranici projekta</w:t>
      </w:r>
      <w:r w:rsidR="00811B0E" w:rsidRPr="004F7BD6">
        <w:rPr>
          <w:rFonts w:asciiTheme="majorHAnsi" w:hAnsiTheme="majorHAnsi" w:cstheme="majorHAnsi"/>
          <w:sz w:val="22"/>
          <w:lang w:val="it-IT"/>
        </w:rPr>
        <w:t>;</w:t>
      </w:r>
    </w:p>
    <w:p w14:paraId="4A414629" w14:textId="1804D7A3" w:rsidR="007E15DB" w:rsidRPr="00386B69" w:rsidRDefault="00AF1340" w:rsidP="00AC0E2C">
      <w:pPr>
        <w:pStyle w:val="ListBullet"/>
        <w:spacing w:after="120" w:line="252" w:lineRule="auto"/>
        <w:ind w:left="720" w:right="576"/>
        <w:jc w:val="both"/>
        <w:rPr>
          <w:rFonts w:asciiTheme="majorHAnsi" w:hAnsiTheme="majorHAnsi" w:cstheme="majorHAnsi"/>
          <w:sz w:val="22"/>
        </w:rPr>
      </w:pPr>
      <w:r>
        <w:rPr>
          <w:rFonts w:asciiTheme="majorHAnsi" w:hAnsiTheme="majorHAnsi" w:cstheme="majorHAnsi"/>
          <w:sz w:val="22"/>
        </w:rPr>
        <w:t>sažetka</w:t>
      </w:r>
      <w:r w:rsidR="008B206F">
        <w:rPr>
          <w:rFonts w:asciiTheme="majorHAnsi" w:hAnsiTheme="majorHAnsi" w:cstheme="majorHAnsi"/>
          <w:sz w:val="22"/>
        </w:rPr>
        <w:t xml:space="preserve"> konsultacija</w:t>
      </w:r>
      <w:r w:rsidR="00811B0E" w:rsidRPr="00386B69">
        <w:rPr>
          <w:rFonts w:asciiTheme="majorHAnsi" w:hAnsiTheme="majorHAnsi" w:cstheme="majorHAnsi"/>
          <w:sz w:val="22"/>
        </w:rPr>
        <w:t>;</w:t>
      </w:r>
    </w:p>
    <w:p w14:paraId="452D6876" w14:textId="473E593E" w:rsidR="007E15DB" w:rsidRPr="00386B69" w:rsidRDefault="008B206F" w:rsidP="00AC0E2C">
      <w:pPr>
        <w:pStyle w:val="ListBullet"/>
        <w:spacing w:after="120" w:line="252" w:lineRule="auto"/>
        <w:ind w:left="720" w:right="576"/>
        <w:jc w:val="both"/>
        <w:rPr>
          <w:rFonts w:asciiTheme="majorHAnsi" w:hAnsiTheme="majorHAnsi" w:cstheme="majorHAnsi"/>
          <w:sz w:val="22"/>
        </w:rPr>
      </w:pPr>
      <w:r w:rsidRPr="008B206F">
        <w:rPr>
          <w:rFonts w:asciiTheme="majorHAnsi" w:hAnsiTheme="majorHAnsi" w:cstheme="majorHAnsi"/>
          <w:sz w:val="22"/>
        </w:rPr>
        <w:t>javno dostupnih informativnih materijala</w:t>
      </w:r>
      <w:r w:rsidR="00811B0E" w:rsidRPr="00386B69">
        <w:rPr>
          <w:rFonts w:asciiTheme="majorHAnsi" w:hAnsiTheme="majorHAnsi" w:cstheme="majorHAnsi"/>
          <w:sz w:val="22"/>
        </w:rPr>
        <w:t>;</w:t>
      </w:r>
    </w:p>
    <w:p w14:paraId="7A0D6156" w14:textId="0F3CC74F" w:rsidR="007E15DB" w:rsidRPr="00386B69" w:rsidRDefault="008B206F" w:rsidP="00AC0E2C">
      <w:pPr>
        <w:pStyle w:val="ListBullet"/>
        <w:spacing w:after="120" w:line="252" w:lineRule="auto"/>
        <w:ind w:left="720" w:right="576"/>
        <w:jc w:val="both"/>
        <w:rPr>
          <w:rFonts w:asciiTheme="majorHAnsi" w:hAnsiTheme="majorHAnsi" w:cstheme="majorHAnsi"/>
          <w:sz w:val="22"/>
        </w:rPr>
      </w:pPr>
      <w:r w:rsidRPr="008B206F">
        <w:rPr>
          <w:rFonts w:asciiTheme="majorHAnsi" w:hAnsiTheme="majorHAnsi" w:cstheme="majorHAnsi"/>
          <w:sz w:val="22"/>
        </w:rPr>
        <w:t>godišnjih ili polugodišnjih izveštaja o napretku projekta</w:t>
      </w:r>
      <w:r w:rsidR="00811B0E" w:rsidRPr="00386B69">
        <w:rPr>
          <w:rFonts w:asciiTheme="majorHAnsi" w:hAnsiTheme="majorHAnsi" w:cstheme="majorHAnsi"/>
          <w:sz w:val="22"/>
        </w:rPr>
        <w:t>;</w:t>
      </w:r>
    </w:p>
    <w:p w14:paraId="6E5C24B7" w14:textId="747327E2" w:rsidR="007E15DB" w:rsidRPr="004F7BD6" w:rsidRDefault="009C00AA"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ciljanih povratnih informacija učesnicima i uključenim grupama</w:t>
      </w:r>
      <w:r w:rsidR="00811B0E" w:rsidRPr="004F7BD6">
        <w:rPr>
          <w:rFonts w:asciiTheme="majorHAnsi" w:hAnsiTheme="majorHAnsi" w:cstheme="majorHAnsi"/>
          <w:sz w:val="22"/>
          <w:lang w:val="it-IT"/>
        </w:rPr>
        <w:t xml:space="preserve">; </w:t>
      </w:r>
      <w:r w:rsidRPr="004F7BD6">
        <w:rPr>
          <w:rFonts w:asciiTheme="majorHAnsi" w:hAnsiTheme="majorHAnsi" w:cstheme="majorHAnsi"/>
          <w:sz w:val="22"/>
          <w:lang w:val="it-IT"/>
        </w:rPr>
        <w:t>i</w:t>
      </w:r>
    </w:p>
    <w:p w14:paraId="5FF95FB6" w14:textId="1462E9AC" w:rsidR="007E15DB" w:rsidRPr="004F7BD6" w:rsidRDefault="00C83D15" w:rsidP="00AC0E2C">
      <w:pPr>
        <w:pStyle w:val="ListBullet"/>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lastRenderedPageBreak/>
        <w:t>zbirnog izveštavanja o funkcionisanju GRM-a</w:t>
      </w:r>
      <w:r w:rsidR="00811B0E" w:rsidRPr="004F7BD6">
        <w:rPr>
          <w:rFonts w:asciiTheme="majorHAnsi" w:hAnsiTheme="majorHAnsi" w:cstheme="majorHAnsi"/>
          <w:sz w:val="22"/>
          <w:lang w:val="it-IT"/>
        </w:rPr>
        <w:t>.</w:t>
      </w:r>
    </w:p>
    <w:p w14:paraId="7CD9C439" w14:textId="7499717A" w:rsidR="007E15DB" w:rsidRPr="004F7BD6" w:rsidRDefault="00A05D12" w:rsidP="00AC0E2C">
      <w:pPr>
        <w:spacing w:after="120" w:line="252" w:lineRule="auto"/>
        <w:ind w:left="720" w:right="576"/>
        <w:jc w:val="both"/>
        <w:rPr>
          <w:rFonts w:asciiTheme="majorHAnsi" w:hAnsiTheme="majorHAnsi" w:cstheme="majorHAnsi"/>
          <w:sz w:val="22"/>
          <w:lang w:val="it-IT"/>
        </w:rPr>
      </w:pPr>
      <w:r w:rsidRPr="004F7BD6">
        <w:rPr>
          <w:rFonts w:asciiTheme="majorHAnsi" w:hAnsiTheme="majorHAnsi" w:cstheme="majorHAnsi"/>
          <w:sz w:val="22"/>
          <w:lang w:val="it-IT"/>
        </w:rPr>
        <w:t>Kada povratne informacije dovedu do izmena u dizajnu usluga, komunikaciji, pristupačnosti ili aranžmanima za sprovođenje projekta, te izmene će biti dokumentovane i saopštene u odgovarajućem formatu</w:t>
      </w:r>
      <w:r w:rsidR="00811B0E" w:rsidRPr="004F7BD6">
        <w:rPr>
          <w:rFonts w:asciiTheme="majorHAnsi" w:hAnsiTheme="majorHAnsi" w:cstheme="majorHAnsi"/>
          <w:sz w:val="22"/>
          <w:lang w:val="it-IT"/>
        </w:rPr>
        <w:t>.</w:t>
      </w:r>
    </w:p>
    <w:p w14:paraId="4949A941" w14:textId="407954AD" w:rsidR="007E15DB" w:rsidRPr="00386B69" w:rsidRDefault="00DF16DA" w:rsidP="004962FD">
      <w:pPr>
        <w:pStyle w:val="Heading2"/>
        <w:numPr>
          <w:ilvl w:val="1"/>
          <w:numId w:val="23"/>
        </w:numPr>
        <w:spacing w:before="60" w:after="120"/>
        <w:ind w:right="576"/>
        <w:jc w:val="both"/>
        <w:rPr>
          <w:rFonts w:cstheme="majorHAnsi"/>
          <w:color w:val="auto"/>
          <w:sz w:val="22"/>
          <w:szCs w:val="22"/>
        </w:rPr>
      </w:pPr>
      <w:r>
        <w:rPr>
          <w:rFonts w:eastAsia="Arial" w:cstheme="majorHAnsi"/>
          <w:color w:val="auto"/>
          <w:sz w:val="22"/>
          <w:szCs w:val="22"/>
        </w:rPr>
        <w:t>Predloženi indikatori</w:t>
      </w:r>
    </w:p>
    <w:tbl>
      <w:tblPr>
        <w:tblStyle w:val="TableGrid"/>
        <w:tblW w:w="5000" w:type="pct"/>
        <w:jc w:val="center"/>
        <w:tblLook w:val="04A0" w:firstRow="1" w:lastRow="0" w:firstColumn="1" w:lastColumn="0" w:noHBand="0" w:noVBand="1"/>
      </w:tblPr>
      <w:tblGrid>
        <w:gridCol w:w="3552"/>
        <w:gridCol w:w="2738"/>
        <w:gridCol w:w="4356"/>
      </w:tblGrid>
      <w:tr w:rsidR="00386B69" w:rsidRPr="00386B69" w14:paraId="55FE68AF" w14:textId="77777777" w:rsidTr="00ED5731">
        <w:trPr>
          <w:cantSplit/>
          <w:tblHeader/>
          <w:jc w:val="center"/>
        </w:trPr>
        <w:tc>
          <w:tcPr>
            <w:tcW w:w="3592" w:type="dxa"/>
            <w:shd w:val="clear" w:color="auto" w:fill="D9EAF7"/>
            <w:tcMar>
              <w:top w:w="60" w:type="dxa"/>
              <w:left w:w="60" w:type="dxa"/>
              <w:bottom w:w="60" w:type="dxa"/>
              <w:right w:w="60" w:type="dxa"/>
            </w:tcMar>
          </w:tcPr>
          <w:p w14:paraId="29EF07D8" w14:textId="08F176D6" w:rsidR="007E15DB" w:rsidRPr="004962FD" w:rsidRDefault="00DF16DA" w:rsidP="00AC0E2C">
            <w:pPr>
              <w:rPr>
                <w:rFonts w:asciiTheme="majorHAnsi" w:hAnsiTheme="majorHAnsi" w:cstheme="majorHAnsi"/>
                <w:szCs w:val="20"/>
              </w:rPr>
            </w:pPr>
            <w:r>
              <w:rPr>
                <w:rFonts w:asciiTheme="majorHAnsi" w:hAnsiTheme="majorHAnsi" w:cstheme="majorHAnsi"/>
                <w:b/>
                <w:szCs w:val="20"/>
              </w:rPr>
              <w:t>Indikator</w:t>
            </w:r>
          </w:p>
        </w:tc>
        <w:tc>
          <w:tcPr>
            <w:tcW w:w="2768" w:type="dxa"/>
            <w:shd w:val="clear" w:color="auto" w:fill="D9EAF7"/>
            <w:tcMar>
              <w:top w:w="60" w:type="dxa"/>
              <w:left w:w="60" w:type="dxa"/>
              <w:bottom w:w="60" w:type="dxa"/>
              <w:right w:w="60" w:type="dxa"/>
            </w:tcMar>
          </w:tcPr>
          <w:p w14:paraId="520CAC27" w14:textId="210B8737" w:rsidR="007E15DB" w:rsidRPr="004962FD" w:rsidRDefault="00DF16DA" w:rsidP="00AC0E2C">
            <w:pPr>
              <w:rPr>
                <w:rFonts w:asciiTheme="majorHAnsi" w:hAnsiTheme="majorHAnsi" w:cstheme="majorHAnsi"/>
                <w:szCs w:val="20"/>
              </w:rPr>
            </w:pPr>
            <w:r>
              <w:rPr>
                <w:rFonts w:asciiTheme="majorHAnsi" w:hAnsiTheme="majorHAnsi" w:cstheme="majorHAnsi"/>
                <w:b/>
                <w:szCs w:val="20"/>
              </w:rPr>
              <w:t>Učestalost</w:t>
            </w:r>
          </w:p>
        </w:tc>
        <w:tc>
          <w:tcPr>
            <w:tcW w:w="4416" w:type="dxa"/>
            <w:shd w:val="clear" w:color="auto" w:fill="D9EAF7"/>
            <w:tcMar>
              <w:top w:w="60" w:type="dxa"/>
              <w:left w:w="60" w:type="dxa"/>
              <w:bottom w:w="60" w:type="dxa"/>
              <w:right w:w="60" w:type="dxa"/>
            </w:tcMar>
          </w:tcPr>
          <w:p w14:paraId="4B354755" w14:textId="3EE6B38D" w:rsidR="007E15DB" w:rsidRPr="004962FD" w:rsidRDefault="00DF16DA" w:rsidP="00AC0E2C">
            <w:pPr>
              <w:rPr>
                <w:rFonts w:asciiTheme="majorHAnsi" w:hAnsiTheme="majorHAnsi" w:cstheme="majorHAnsi"/>
                <w:szCs w:val="20"/>
              </w:rPr>
            </w:pPr>
            <w:r>
              <w:rPr>
                <w:rFonts w:asciiTheme="majorHAnsi" w:hAnsiTheme="majorHAnsi" w:cstheme="majorHAnsi"/>
                <w:b/>
                <w:szCs w:val="20"/>
              </w:rPr>
              <w:t>Odgovornost</w:t>
            </w:r>
          </w:p>
        </w:tc>
      </w:tr>
      <w:tr w:rsidR="00386B69" w:rsidRPr="00386B69" w14:paraId="69C15B3B" w14:textId="77777777" w:rsidTr="00ED5731">
        <w:trPr>
          <w:cantSplit/>
          <w:jc w:val="center"/>
        </w:trPr>
        <w:tc>
          <w:tcPr>
            <w:tcW w:w="3592" w:type="dxa"/>
            <w:tcMar>
              <w:top w:w="60" w:type="dxa"/>
              <w:left w:w="60" w:type="dxa"/>
              <w:bottom w:w="60" w:type="dxa"/>
              <w:right w:w="60" w:type="dxa"/>
            </w:tcMar>
          </w:tcPr>
          <w:p w14:paraId="1C02F57E" w14:textId="344E5AC9" w:rsidR="007E15DB" w:rsidRPr="004F7BD6" w:rsidRDefault="00DF16DA" w:rsidP="00AC0E2C">
            <w:pPr>
              <w:rPr>
                <w:rFonts w:asciiTheme="majorHAnsi" w:hAnsiTheme="majorHAnsi" w:cstheme="majorHAnsi"/>
                <w:szCs w:val="20"/>
                <w:lang w:val="it-IT"/>
              </w:rPr>
            </w:pPr>
            <w:r w:rsidRPr="004F7BD6">
              <w:rPr>
                <w:rFonts w:asciiTheme="majorHAnsi" w:hAnsiTheme="majorHAnsi" w:cstheme="majorHAnsi"/>
                <w:szCs w:val="20"/>
                <w:lang w:val="it-IT"/>
              </w:rPr>
              <w:t>Broj održanih konsultacija sa zainteresovanim stranama, radionica ili aktivnosti informisanja</w:t>
            </w:r>
          </w:p>
        </w:tc>
        <w:tc>
          <w:tcPr>
            <w:tcW w:w="2768" w:type="dxa"/>
            <w:tcMar>
              <w:top w:w="60" w:type="dxa"/>
              <w:left w:w="60" w:type="dxa"/>
              <w:bottom w:w="60" w:type="dxa"/>
              <w:right w:w="60" w:type="dxa"/>
            </w:tcMar>
          </w:tcPr>
          <w:p w14:paraId="3890962D" w14:textId="331067D8"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1DDE070E"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PIU</w:t>
            </w:r>
          </w:p>
        </w:tc>
      </w:tr>
      <w:tr w:rsidR="00386B69" w:rsidRPr="00386B69" w14:paraId="4030F457" w14:textId="77777777" w:rsidTr="00ED5731">
        <w:trPr>
          <w:cantSplit/>
          <w:jc w:val="center"/>
        </w:trPr>
        <w:tc>
          <w:tcPr>
            <w:tcW w:w="3592" w:type="dxa"/>
            <w:tcMar>
              <w:top w:w="60" w:type="dxa"/>
              <w:left w:w="60" w:type="dxa"/>
              <w:bottom w:w="60" w:type="dxa"/>
              <w:right w:w="60" w:type="dxa"/>
            </w:tcMar>
          </w:tcPr>
          <w:p w14:paraId="39D5DAA6" w14:textId="224E39E3" w:rsidR="007E15DB" w:rsidRPr="00CE2556" w:rsidRDefault="00EE05FD" w:rsidP="00EE05FD">
            <w:pPr>
              <w:rPr>
                <w:rFonts w:asciiTheme="majorHAnsi" w:hAnsiTheme="majorHAnsi" w:cstheme="majorHAnsi"/>
                <w:szCs w:val="20"/>
                <w:lang w:val="sr-Latn-RS"/>
              </w:rPr>
            </w:pPr>
            <w:r w:rsidRPr="00EE05FD">
              <w:rPr>
                <w:rFonts w:asciiTheme="majorHAnsi" w:hAnsiTheme="majorHAnsi" w:cstheme="majorHAnsi"/>
                <w:szCs w:val="20"/>
              </w:rPr>
              <w:t>Broj učesnika u aktivnostima uključivanja zainteresovanih strana, razvrstan po polu i grupama z</w:t>
            </w:r>
            <w:r>
              <w:rPr>
                <w:rFonts w:asciiTheme="majorHAnsi" w:hAnsiTheme="majorHAnsi" w:cstheme="majorHAnsi"/>
                <w:szCs w:val="20"/>
              </w:rPr>
              <w:t>ainteresovanih strana gde je moguće</w:t>
            </w:r>
          </w:p>
        </w:tc>
        <w:tc>
          <w:tcPr>
            <w:tcW w:w="2768" w:type="dxa"/>
            <w:tcMar>
              <w:top w:w="60" w:type="dxa"/>
              <w:left w:w="60" w:type="dxa"/>
              <w:bottom w:w="60" w:type="dxa"/>
              <w:right w:w="60" w:type="dxa"/>
            </w:tcMar>
          </w:tcPr>
          <w:p w14:paraId="5C31E194" w14:textId="3437B364"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00A7CB5A" w14:textId="0EA3705B" w:rsidR="007E15DB" w:rsidRPr="004962FD" w:rsidRDefault="00811B0E" w:rsidP="00AF1340">
            <w:pPr>
              <w:rPr>
                <w:rFonts w:asciiTheme="majorHAnsi" w:hAnsiTheme="majorHAnsi" w:cstheme="majorHAnsi"/>
                <w:szCs w:val="20"/>
              </w:rPr>
            </w:pPr>
            <w:r w:rsidRPr="004962FD">
              <w:rPr>
                <w:rFonts w:asciiTheme="majorHAnsi" w:hAnsiTheme="majorHAnsi" w:cstheme="majorHAnsi"/>
                <w:szCs w:val="20"/>
              </w:rPr>
              <w:t xml:space="preserve">PIU/M&amp;E </w:t>
            </w:r>
            <w:r w:rsidR="00AF1340">
              <w:rPr>
                <w:rFonts w:asciiTheme="majorHAnsi" w:hAnsiTheme="majorHAnsi" w:cstheme="majorHAnsi"/>
                <w:szCs w:val="20"/>
              </w:rPr>
              <w:t>stručnjak</w:t>
            </w:r>
          </w:p>
        </w:tc>
      </w:tr>
      <w:tr w:rsidR="00386B69" w:rsidRPr="00AF1340" w14:paraId="05719B5B" w14:textId="77777777" w:rsidTr="00ED5731">
        <w:trPr>
          <w:cantSplit/>
          <w:jc w:val="center"/>
        </w:trPr>
        <w:tc>
          <w:tcPr>
            <w:tcW w:w="3592" w:type="dxa"/>
            <w:tcMar>
              <w:top w:w="60" w:type="dxa"/>
              <w:left w:w="60" w:type="dxa"/>
              <w:bottom w:w="60" w:type="dxa"/>
              <w:right w:w="60" w:type="dxa"/>
            </w:tcMar>
          </w:tcPr>
          <w:p w14:paraId="311A93BC" w14:textId="0511F824" w:rsidR="007E15DB" w:rsidRPr="004962FD" w:rsidRDefault="00CE2556" w:rsidP="00AC0E2C">
            <w:pPr>
              <w:rPr>
                <w:rFonts w:asciiTheme="majorHAnsi" w:hAnsiTheme="majorHAnsi" w:cstheme="majorHAnsi"/>
                <w:szCs w:val="20"/>
              </w:rPr>
            </w:pPr>
            <w:r w:rsidRPr="00CE2556">
              <w:rPr>
                <w:rFonts w:asciiTheme="majorHAnsi" w:hAnsiTheme="majorHAnsi" w:cstheme="majorHAnsi"/>
                <w:szCs w:val="20"/>
              </w:rPr>
              <w:t>Broj aktivnosti informisanja usmerenih ka ranjivim ili nedovoljno obuhvaćenim grupama</w:t>
            </w:r>
          </w:p>
        </w:tc>
        <w:tc>
          <w:tcPr>
            <w:tcW w:w="2768" w:type="dxa"/>
            <w:tcMar>
              <w:top w:w="60" w:type="dxa"/>
              <w:left w:w="60" w:type="dxa"/>
              <w:bottom w:w="60" w:type="dxa"/>
              <w:right w:w="60" w:type="dxa"/>
            </w:tcMar>
          </w:tcPr>
          <w:p w14:paraId="63A26857" w14:textId="6B8BE2B4"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6889B1A9" w14:textId="06584C7F" w:rsidR="007E15DB" w:rsidRPr="00AF1340" w:rsidRDefault="00811B0E" w:rsidP="00AF1340">
            <w:pPr>
              <w:rPr>
                <w:rFonts w:asciiTheme="majorHAnsi" w:hAnsiTheme="majorHAnsi" w:cstheme="majorHAnsi"/>
                <w:szCs w:val="20"/>
                <w:lang w:val="it-IT"/>
              </w:rPr>
            </w:pPr>
            <w:r w:rsidRPr="00AF1340">
              <w:rPr>
                <w:rFonts w:asciiTheme="majorHAnsi" w:hAnsiTheme="majorHAnsi" w:cstheme="majorHAnsi"/>
                <w:szCs w:val="20"/>
                <w:lang w:val="it-IT"/>
              </w:rPr>
              <w:t xml:space="preserve">PIU </w:t>
            </w:r>
            <w:r w:rsidR="00AF1340" w:rsidRPr="00AF1340">
              <w:rPr>
                <w:rFonts w:asciiTheme="majorHAnsi" w:hAnsiTheme="majorHAnsi" w:cstheme="majorHAnsi"/>
                <w:szCs w:val="20"/>
                <w:lang w:val="it-IT"/>
              </w:rPr>
              <w:t>stručnjak za društvena pitanja</w:t>
            </w:r>
          </w:p>
        </w:tc>
      </w:tr>
      <w:tr w:rsidR="00386B69" w:rsidRPr="00386B69" w14:paraId="315DF6A6" w14:textId="77777777" w:rsidTr="00ED5731">
        <w:trPr>
          <w:cantSplit/>
          <w:jc w:val="center"/>
        </w:trPr>
        <w:tc>
          <w:tcPr>
            <w:tcW w:w="3592" w:type="dxa"/>
            <w:tcMar>
              <w:top w:w="60" w:type="dxa"/>
              <w:left w:w="60" w:type="dxa"/>
              <w:bottom w:w="60" w:type="dxa"/>
              <w:right w:w="60" w:type="dxa"/>
            </w:tcMar>
          </w:tcPr>
          <w:p w14:paraId="7261A84E" w14:textId="31A7A8D4" w:rsidR="007E15DB" w:rsidRPr="004962FD" w:rsidRDefault="00243181" w:rsidP="00AC0E2C">
            <w:pPr>
              <w:rPr>
                <w:rFonts w:asciiTheme="majorHAnsi" w:hAnsiTheme="majorHAnsi" w:cstheme="majorHAnsi"/>
                <w:szCs w:val="20"/>
              </w:rPr>
            </w:pPr>
            <w:r w:rsidRPr="00243181">
              <w:rPr>
                <w:rFonts w:asciiTheme="majorHAnsi" w:hAnsiTheme="majorHAnsi" w:cstheme="majorHAnsi"/>
                <w:szCs w:val="20"/>
              </w:rPr>
              <w:t>Broj sesija informisanja, ukl</w:t>
            </w:r>
            <w:r>
              <w:rPr>
                <w:rFonts w:asciiTheme="majorHAnsi" w:hAnsiTheme="majorHAnsi" w:cstheme="majorHAnsi"/>
                <w:szCs w:val="20"/>
              </w:rPr>
              <w:t>jučivanja korisnika</w:t>
            </w:r>
            <w:r w:rsidRPr="00243181">
              <w:rPr>
                <w:rFonts w:asciiTheme="majorHAnsi" w:hAnsiTheme="majorHAnsi" w:cstheme="majorHAnsi"/>
                <w:szCs w:val="20"/>
              </w:rPr>
              <w:t xml:space="preserve"> ili prikupljanja povratnih informacija u vezi sa Digitalnim novčanikom</w:t>
            </w:r>
          </w:p>
        </w:tc>
        <w:tc>
          <w:tcPr>
            <w:tcW w:w="2768" w:type="dxa"/>
            <w:tcMar>
              <w:top w:w="60" w:type="dxa"/>
              <w:left w:w="60" w:type="dxa"/>
              <w:bottom w:w="60" w:type="dxa"/>
              <w:right w:w="60" w:type="dxa"/>
            </w:tcMar>
          </w:tcPr>
          <w:p w14:paraId="2782A5A8" w14:textId="746E8A2A"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5A19F878"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w:t>
            </w:r>
          </w:p>
        </w:tc>
      </w:tr>
      <w:tr w:rsidR="00386B69" w:rsidRPr="00386B69" w14:paraId="353249B5" w14:textId="77777777" w:rsidTr="00ED5731">
        <w:trPr>
          <w:cantSplit/>
          <w:jc w:val="center"/>
        </w:trPr>
        <w:tc>
          <w:tcPr>
            <w:tcW w:w="3592" w:type="dxa"/>
            <w:tcMar>
              <w:top w:w="60" w:type="dxa"/>
              <w:left w:w="60" w:type="dxa"/>
              <w:bottom w:w="60" w:type="dxa"/>
              <w:right w:w="60" w:type="dxa"/>
            </w:tcMar>
          </w:tcPr>
          <w:p w14:paraId="7CCC1D16" w14:textId="636402C0" w:rsidR="007E15DB" w:rsidRPr="004962FD" w:rsidRDefault="00243181" w:rsidP="00AC0E2C">
            <w:pPr>
              <w:rPr>
                <w:rFonts w:asciiTheme="majorHAnsi" w:hAnsiTheme="majorHAnsi" w:cstheme="majorHAnsi"/>
                <w:szCs w:val="20"/>
              </w:rPr>
            </w:pPr>
            <w:r w:rsidRPr="00243181">
              <w:rPr>
                <w:rFonts w:asciiTheme="majorHAnsi" w:hAnsiTheme="majorHAnsi" w:cstheme="majorHAnsi"/>
                <w:szCs w:val="20"/>
              </w:rPr>
              <w:t>Broj sprovedenih sesija korisničkog testiranja ili testiranja upotrebljivosti usluga podržanih projektom</w:t>
            </w:r>
          </w:p>
        </w:tc>
        <w:tc>
          <w:tcPr>
            <w:tcW w:w="2768" w:type="dxa"/>
            <w:tcMar>
              <w:top w:w="60" w:type="dxa"/>
              <w:left w:w="60" w:type="dxa"/>
              <w:bottom w:w="60" w:type="dxa"/>
              <w:right w:w="60" w:type="dxa"/>
            </w:tcMar>
          </w:tcPr>
          <w:p w14:paraId="3D84CC94" w14:textId="47D52231" w:rsidR="007E15DB" w:rsidRPr="004962FD" w:rsidRDefault="00DF16DA" w:rsidP="00AC0E2C">
            <w:pPr>
              <w:rPr>
                <w:rFonts w:asciiTheme="majorHAnsi" w:hAnsiTheme="majorHAnsi" w:cstheme="majorHAnsi"/>
                <w:szCs w:val="20"/>
              </w:rPr>
            </w:pPr>
            <w:r>
              <w:rPr>
                <w:rFonts w:asciiTheme="majorHAnsi" w:hAnsiTheme="majorHAnsi" w:cstheme="majorHAnsi"/>
                <w:szCs w:val="20"/>
              </w:rPr>
              <w:t>Godišnje</w:t>
            </w:r>
          </w:p>
        </w:tc>
        <w:tc>
          <w:tcPr>
            <w:tcW w:w="4416" w:type="dxa"/>
            <w:tcMar>
              <w:top w:w="60" w:type="dxa"/>
              <w:left w:w="60" w:type="dxa"/>
              <w:bottom w:w="60" w:type="dxa"/>
              <w:right w:w="60" w:type="dxa"/>
            </w:tcMar>
          </w:tcPr>
          <w:p w14:paraId="2AA91FB6" w14:textId="5C00D209"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OITEG/PIU t</w:t>
            </w:r>
            <w:r w:rsidR="00243181">
              <w:rPr>
                <w:rFonts w:asciiTheme="majorHAnsi" w:hAnsiTheme="majorHAnsi" w:cstheme="majorHAnsi"/>
                <w:szCs w:val="20"/>
              </w:rPr>
              <w:t>ehnički timovi</w:t>
            </w:r>
          </w:p>
        </w:tc>
      </w:tr>
      <w:tr w:rsidR="00386B69" w:rsidRPr="00386B69" w14:paraId="6BAC285D" w14:textId="77777777" w:rsidTr="00ED5731">
        <w:trPr>
          <w:cantSplit/>
          <w:jc w:val="center"/>
        </w:trPr>
        <w:tc>
          <w:tcPr>
            <w:tcW w:w="3592" w:type="dxa"/>
            <w:tcMar>
              <w:top w:w="60" w:type="dxa"/>
              <w:left w:w="60" w:type="dxa"/>
              <w:bottom w:w="60" w:type="dxa"/>
              <w:right w:w="60" w:type="dxa"/>
            </w:tcMar>
          </w:tcPr>
          <w:p w14:paraId="65426E42" w14:textId="48F5F345" w:rsidR="007E15DB" w:rsidRPr="004962FD" w:rsidRDefault="00243181" w:rsidP="00AC0E2C">
            <w:pPr>
              <w:rPr>
                <w:rFonts w:asciiTheme="majorHAnsi" w:hAnsiTheme="majorHAnsi" w:cstheme="majorHAnsi"/>
                <w:szCs w:val="20"/>
              </w:rPr>
            </w:pPr>
            <w:r w:rsidRPr="00243181">
              <w:rPr>
                <w:rFonts w:asciiTheme="majorHAnsi" w:hAnsiTheme="majorHAnsi" w:cstheme="majorHAnsi"/>
                <w:szCs w:val="20"/>
              </w:rPr>
              <w:t>Broj primljenih i rešenih pritužb</w:t>
            </w:r>
            <w:r>
              <w:rPr>
                <w:rFonts w:asciiTheme="majorHAnsi" w:hAnsiTheme="majorHAnsi" w:cstheme="majorHAnsi"/>
                <w:szCs w:val="20"/>
              </w:rPr>
              <w:t>i</w:t>
            </w:r>
          </w:p>
        </w:tc>
        <w:tc>
          <w:tcPr>
            <w:tcW w:w="2768" w:type="dxa"/>
            <w:tcMar>
              <w:top w:w="60" w:type="dxa"/>
              <w:left w:w="60" w:type="dxa"/>
              <w:bottom w:w="60" w:type="dxa"/>
              <w:right w:w="60" w:type="dxa"/>
            </w:tcMar>
          </w:tcPr>
          <w:p w14:paraId="408CBB15" w14:textId="375FA375"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71F1FE0D" w14:textId="410651DF" w:rsidR="007E15DB" w:rsidRPr="004962FD" w:rsidRDefault="00243181"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5AFB4115" w14:textId="77777777" w:rsidTr="00ED5731">
        <w:trPr>
          <w:cantSplit/>
          <w:jc w:val="center"/>
        </w:trPr>
        <w:tc>
          <w:tcPr>
            <w:tcW w:w="3592" w:type="dxa"/>
            <w:tcMar>
              <w:top w:w="60" w:type="dxa"/>
              <w:left w:w="60" w:type="dxa"/>
              <w:bottom w:w="60" w:type="dxa"/>
              <w:right w:w="60" w:type="dxa"/>
            </w:tcMar>
          </w:tcPr>
          <w:p w14:paraId="46956A80" w14:textId="2CBCFB9D" w:rsidR="007E15DB" w:rsidRPr="004962FD" w:rsidRDefault="00243181" w:rsidP="00AC0E2C">
            <w:pPr>
              <w:rPr>
                <w:rFonts w:asciiTheme="majorHAnsi" w:hAnsiTheme="majorHAnsi" w:cstheme="majorHAnsi"/>
                <w:szCs w:val="20"/>
              </w:rPr>
            </w:pPr>
            <w:r w:rsidRPr="00243181">
              <w:rPr>
                <w:rFonts w:asciiTheme="majorHAnsi" w:hAnsiTheme="majorHAnsi" w:cstheme="majorHAnsi"/>
                <w:szCs w:val="20"/>
              </w:rPr>
              <w:t>Prosečno vreme rešavanja pritužbi</w:t>
            </w:r>
          </w:p>
        </w:tc>
        <w:tc>
          <w:tcPr>
            <w:tcW w:w="2768" w:type="dxa"/>
            <w:tcMar>
              <w:top w:w="60" w:type="dxa"/>
              <w:left w:w="60" w:type="dxa"/>
              <w:bottom w:w="60" w:type="dxa"/>
              <w:right w:w="60" w:type="dxa"/>
            </w:tcMar>
          </w:tcPr>
          <w:p w14:paraId="6D238DEF" w14:textId="5A784864"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0808F713" w14:textId="60F6B1F6" w:rsidR="007E15DB" w:rsidRPr="004962FD" w:rsidRDefault="00243181"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090DD0C5" w14:textId="77777777" w:rsidTr="00ED5731">
        <w:trPr>
          <w:cantSplit/>
          <w:jc w:val="center"/>
        </w:trPr>
        <w:tc>
          <w:tcPr>
            <w:tcW w:w="3592" w:type="dxa"/>
            <w:tcMar>
              <w:top w:w="60" w:type="dxa"/>
              <w:left w:w="60" w:type="dxa"/>
              <w:bottom w:w="60" w:type="dxa"/>
              <w:right w:w="60" w:type="dxa"/>
            </w:tcMar>
          </w:tcPr>
          <w:p w14:paraId="73FCB0C5" w14:textId="6F87E311" w:rsidR="007E15DB" w:rsidRPr="004962FD" w:rsidRDefault="00243181" w:rsidP="00AC0E2C">
            <w:pPr>
              <w:rPr>
                <w:rFonts w:asciiTheme="majorHAnsi" w:hAnsiTheme="majorHAnsi" w:cstheme="majorHAnsi"/>
                <w:szCs w:val="20"/>
              </w:rPr>
            </w:pPr>
            <w:r w:rsidRPr="00243181">
              <w:rPr>
                <w:rFonts w:asciiTheme="majorHAnsi" w:hAnsiTheme="majorHAnsi" w:cstheme="majorHAnsi"/>
                <w:szCs w:val="20"/>
              </w:rPr>
              <w:t>Udeo pritužbi rešenih u okviru utvrđenog roka</w:t>
            </w:r>
          </w:p>
        </w:tc>
        <w:tc>
          <w:tcPr>
            <w:tcW w:w="2768" w:type="dxa"/>
            <w:tcMar>
              <w:top w:w="60" w:type="dxa"/>
              <w:left w:w="60" w:type="dxa"/>
              <w:bottom w:w="60" w:type="dxa"/>
              <w:right w:w="60" w:type="dxa"/>
            </w:tcMar>
          </w:tcPr>
          <w:p w14:paraId="40167638" w14:textId="3AD39528"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38C2178A" w14:textId="1BDC6490" w:rsidR="007E15DB" w:rsidRPr="004962FD" w:rsidRDefault="00243181" w:rsidP="00AC0E2C">
            <w:pPr>
              <w:rPr>
                <w:rFonts w:asciiTheme="majorHAnsi" w:hAnsiTheme="majorHAnsi" w:cstheme="majorHAnsi"/>
                <w:szCs w:val="20"/>
              </w:rPr>
            </w:pPr>
            <w:r>
              <w:rPr>
                <w:rFonts w:asciiTheme="majorHAnsi" w:hAnsiTheme="majorHAnsi" w:cstheme="majorHAnsi"/>
                <w:szCs w:val="20"/>
              </w:rPr>
              <w:t>PIU/GRM kontakt osoba</w:t>
            </w:r>
          </w:p>
        </w:tc>
      </w:tr>
      <w:tr w:rsidR="00386B69" w:rsidRPr="00386B69" w14:paraId="03F61C10" w14:textId="77777777" w:rsidTr="00ED5731">
        <w:trPr>
          <w:cantSplit/>
          <w:jc w:val="center"/>
        </w:trPr>
        <w:tc>
          <w:tcPr>
            <w:tcW w:w="3592" w:type="dxa"/>
            <w:tcMar>
              <w:top w:w="60" w:type="dxa"/>
              <w:left w:w="60" w:type="dxa"/>
              <w:bottom w:w="60" w:type="dxa"/>
              <w:right w:w="60" w:type="dxa"/>
            </w:tcMar>
          </w:tcPr>
          <w:p w14:paraId="720EBB8D" w14:textId="3ADD6ABC" w:rsidR="007E15DB" w:rsidRPr="004962FD" w:rsidRDefault="00243181" w:rsidP="00AC0E2C">
            <w:pPr>
              <w:rPr>
                <w:rFonts w:asciiTheme="majorHAnsi" w:hAnsiTheme="majorHAnsi" w:cstheme="majorHAnsi"/>
                <w:szCs w:val="20"/>
              </w:rPr>
            </w:pPr>
            <w:r w:rsidRPr="00243181">
              <w:rPr>
                <w:rFonts w:asciiTheme="majorHAnsi" w:hAnsiTheme="majorHAnsi" w:cstheme="majorHAnsi"/>
                <w:szCs w:val="20"/>
              </w:rPr>
              <w:t>Broj pritužbi povezanih sa pristupačnošću i preduzetih korektivnih mera</w:t>
            </w:r>
          </w:p>
        </w:tc>
        <w:tc>
          <w:tcPr>
            <w:tcW w:w="2768" w:type="dxa"/>
            <w:tcMar>
              <w:top w:w="60" w:type="dxa"/>
              <w:left w:w="60" w:type="dxa"/>
              <w:bottom w:w="60" w:type="dxa"/>
              <w:right w:w="60" w:type="dxa"/>
            </w:tcMar>
          </w:tcPr>
          <w:p w14:paraId="3A3E13F3" w14:textId="73C9D424" w:rsidR="007E15DB" w:rsidRPr="004962FD" w:rsidRDefault="00DF16DA" w:rsidP="00AC0E2C">
            <w:pPr>
              <w:rPr>
                <w:rFonts w:asciiTheme="majorHAnsi" w:hAnsiTheme="majorHAnsi" w:cstheme="majorHAnsi"/>
                <w:szCs w:val="20"/>
              </w:rPr>
            </w:pPr>
            <w:r>
              <w:rPr>
                <w:rFonts w:asciiTheme="majorHAnsi" w:hAnsiTheme="majorHAnsi" w:cstheme="majorHAnsi"/>
                <w:szCs w:val="20"/>
              </w:rPr>
              <w:t>Polugodišnje</w:t>
            </w:r>
          </w:p>
        </w:tc>
        <w:tc>
          <w:tcPr>
            <w:tcW w:w="4416" w:type="dxa"/>
            <w:tcMar>
              <w:top w:w="60" w:type="dxa"/>
              <w:left w:w="60" w:type="dxa"/>
              <w:bottom w:w="60" w:type="dxa"/>
              <w:right w:w="60" w:type="dxa"/>
            </w:tcMar>
          </w:tcPr>
          <w:p w14:paraId="7A901156" w14:textId="42B2DDC1" w:rsidR="007E15DB" w:rsidRPr="004962FD" w:rsidRDefault="00811B0E" w:rsidP="00243181">
            <w:pPr>
              <w:rPr>
                <w:rFonts w:asciiTheme="majorHAnsi" w:hAnsiTheme="majorHAnsi" w:cstheme="majorHAnsi"/>
                <w:szCs w:val="20"/>
              </w:rPr>
            </w:pPr>
            <w:r w:rsidRPr="004962FD">
              <w:rPr>
                <w:rFonts w:asciiTheme="majorHAnsi" w:hAnsiTheme="majorHAnsi" w:cstheme="majorHAnsi"/>
                <w:szCs w:val="20"/>
              </w:rPr>
              <w:t xml:space="preserve">PIU </w:t>
            </w:r>
            <w:r w:rsidR="00243181">
              <w:rPr>
                <w:rFonts w:asciiTheme="majorHAnsi" w:hAnsiTheme="majorHAnsi" w:cstheme="majorHAnsi"/>
                <w:szCs w:val="20"/>
              </w:rPr>
              <w:t>stručnjak za društvene odnose</w:t>
            </w:r>
          </w:p>
        </w:tc>
      </w:tr>
      <w:tr w:rsidR="00386B69" w:rsidRPr="00386B69" w14:paraId="5E10A05E" w14:textId="77777777" w:rsidTr="00ED5731">
        <w:trPr>
          <w:cantSplit/>
          <w:jc w:val="center"/>
        </w:trPr>
        <w:tc>
          <w:tcPr>
            <w:tcW w:w="3592" w:type="dxa"/>
            <w:tcMar>
              <w:top w:w="60" w:type="dxa"/>
              <w:left w:w="60" w:type="dxa"/>
              <w:bottom w:w="60" w:type="dxa"/>
              <w:right w:w="60" w:type="dxa"/>
            </w:tcMar>
          </w:tcPr>
          <w:p w14:paraId="139F4331" w14:textId="436C2356" w:rsidR="007E15DB" w:rsidRPr="004962FD" w:rsidRDefault="006565FC" w:rsidP="00AC0E2C">
            <w:pPr>
              <w:rPr>
                <w:rFonts w:asciiTheme="majorHAnsi" w:hAnsiTheme="majorHAnsi" w:cstheme="majorHAnsi"/>
                <w:szCs w:val="20"/>
              </w:rPr>
            </w:pPr>
            <w:r w:rsidRPr="006565FC">
              <w:rPr>
                <w:rFonts w:asciiTheme="majorHAnsi" w:hAnsiTheme="majorHAnsi" w:cstheme="majorHAnsi"/>
                <w:szCs w:val="20"/>
              </w:rPr>
              <w:t>Udeo korisničkih povratnih informacija koje su dovele do unapređenja usluga ili platforme</w:t>
            </w:r>
          </w:p>
        </w:tc>
        <w:tc>
          <w:tcPr>
            <w:tcW w:w="2768" w:type="dxa"/>
            <w:tcMar>
              <w:top w:w="60" w:type="dxa"/>
              <w:left w:w="60" w:type="dxa"/>
              <w:bottom w:w="60" w:type="dxa"/>
              <w:right w:w="60" w:type="dxa"/>
            </w:tcMar>
          </w:tcPr>
          <w:p w14:paraId="5FE17D2D" w14:textId="448F8B3B" w:rsidR="007E15DB" w:rsidRPr="004962FD" w:rsidRDefault="00DF16DA" w:rsidP="00AC0E2C">
            <w:pPr>
              <w:rPr>
                <w:rFonts w:asciiTheme="majorHAnsi" w:hAnsiTheme="majorHAnsi" w:cstheme="majorHAnsi"/>
                <w:szCs w:val="20"/>
              </w:rPr>
            </w:pPr>
            <w:r>
              <w:rPr>
                <w:rFonts w:asciiTheme="majorHAnsi" w:hAnsiTheme="majorHAnsi" w:cstheme="majorHAnsi"/>
                <w:szCs w:val="20"/>
              </w:rPr>
              <w:t>Godišnje</w:t>
            </w:r>
          </w:p>
        </w:tc>
        <w:tc>
          <w:tcPr>
            <w:tcW w:w="4416" w:type="dxa"/>
            <w:tcMar>
              <w:top w:w="60" w:type="dxa"/>
              <w:left w:w="60" w:type="dxa"/>
              <w:bottom w:w="60" w:type="dxa"/>
              <w:right w:w="60" w:type="dxa"/>
            </w:tcMar>
          </w:tcPr>
          <w:p w14:paraId="688C0109" w14:textId="40179491" w:rsidR="007E15DB" w:rsidRPr="004962FD" w:rsidRDefault="00811B0E" w:rsidP="00243181">
            <w:pPr>
              <w:rPr>
                <w:rFonts w:asciiTheme="majorHAnsi" w:hAnsiTheme="majorHAnsi" w:cstheme="majorHAnsi"/>
                <w:szCs w:val="20"/>
              </w:rPr>
            </w:pPr>
            <w:r w:rsidRPr="004962FD">
              <w:rPr>
                <w:rFonts w:asciiTheme="majorHAnsi" w:hAnsiTheme="majorHAnsi" w:cstheme="majorHAnsi"/>
                <w:szCs w:val="20"/>
              </w:rPr>
              <w:t xml:space="preserve">PIU/M&amp;E </w:t>
            </w:r>
            <w:r w:rsidR="00243181">
              <w:rPr>
                <w:rFonts w:asciiTheme="majorHAnsi" w:hAnsiTheme="majorHAnsi" w:cstheme="majorHAnsi"/>
                <w:szCs w:val="20"/>
              </w:rPr>
              <w:t>stručnjak</w:t>
            </w:r>
          </w:p>
        </w:tc>
      </w:tr>
      <w:tr w:rsidR="00386B69" w:rsidRPr="00386B69" w14:paraId="65ABC8B4" w14:textId="77777777" w:rsidTr="00ED5731">
        <w:trPr>
          <w:cantSplit/>
          <w:jc w:val="center"/>
        </w:trPr>
        <w:tc>
          <w:tcPr>
            <w:tcW w:w="3592" w:type="dxa"/>
            <w:tcMar>
              <w:top w:w="60" w:type="dxa"/>
              <w:left w:w="60" w:type="dxa"/>
              <w:bottom w:w="60" w:type="dxa"/>
              <w:right w:w="60" w:type="dxa"/>
            </w:tcMar>
          </w:tcPr>
          <w:p w14:paraId="3EE517C8" w14:textId="0529EDFD" w:rsidR="007E15DB" w:rsidRPr="004962FD" w:rsidRDefault="006565FC" w:rsidP="00AC0E2C">
            <w:pPr>
              <w:rPr>
                <w:rFonts w:asciiTheme="majorHAnsi" w:hAnsiTheme="majorHAnsi" w:cstheme="majorHAnsi"/>
                <w:szCs w:val="20"/>
              </w:rPr>
            </w:pPr>
            <w:r w:rsidRPr="006565FC">
              <w:rPr>
                <w:rFonts w:asciiTheme="majorHAnsi" w:hAnsiTheme="majorHAnsi" w:cstheme="majorHAnsi"/>
                <w:szCs w:val="20"/>
              </w:rPr>
              <w:t>Zadovoljstvo korisnika odabrani</w:t>
            </w:r>
            <w:r w:rsidR="00D152BD">
              <w:rPr>
                <w:rFonts w:asciiTheme="majorHAnsi" w:hAnsiTheme="majorHAnsi" w:cstheme="majorHAnsi"/>
                <w:szCs w:val="20"/>
              </w:rPr>
              <w:t xml:space="preserve">m digitalnim uslugama podržanih </w:t>
            </w:r>
            <w:r w:rsidRPr="006565FC">
              <w:rPr>
                <w:rFonts w:asciiTheme="majorHAnsi" w:hAnsiTheme="majorHAnsi" w:cstheme="majorHAnsi"/>
                <w:szCs w:val="20"/>
              </w:rPr>
              <w:t>projektom</w:t>
            </w:r>
          </w:p>
        </w:tc>
        <w:tc>
          <w:tcPr>
            <w:tcW w:w="2768" w:type="dxa"/>
            <w:tcMar>
              <w:top w:w="60" w:type="dxa"/>
              <w:left w:w="60" w:type="dxa"/>
              <w:bottom w:w="60" w:type="dxa"/>
              <w:right w:w="60" w:type="dxa"/>
            </w:tcMar>
          </w:tcPr>
          <w:p w14:paraId="75CE2121" w14:textId="71FFA345" w:rsidR="007E15DB" w:rsidRPr="004962FD" w:rsidRDefault="00DF16DA" w:rsidP="00AC0E2C">
            <w:pPr>
              <w:rPr>
                <w:rFonts w:asciiTheme="majorHAnsi" w:hAnsiTheme="majorHAnsi" w:cstheme="majorHAnsi"/>
                <w:szCs w:val="20"/>
              </w:rPr>
            </w:pPr>
            <w:r>
              <w:rPr>
                <w:rFonts w:asciiTheme="majorHAnsi" w:hAnsiTheme="majorHAnsi" w:cstheme="majorHAnsi"/>
                <w:szCs w:val="20"/>
              </w:rPr>
              <w:t>Godišnje</w:t>
            </w:r>
          </w:p>
        </w:tc>
        <w:tc>
          <w:tcPr>
            <w:tcW w:w="4416" w:type="dxa"/>
            <w:tcMar>
              <w:top w:w="60" w:type="dxa"/>
              <w:left w:w="60" w:type="dxa"/>
              <w:bottom w:w="60" w:type="dxa"/>
              <w:right w:w="60" w:type="dxa"/>
            </w:tcMar>
          </w:tcPr>
          <w:p w14:paraId="7FD9E825" w14:textId="2C3E7869" w:rsidR="007E15DB" w:rsidRPr="004962FD" w:rsidRDefault="00811B0E" w:rsidP="00243181">
            <w:pPr>
              <w:rPr>
                <w:rFonts w:asciiTheme="majorHAnsi" w:hAnsiTheme="majorHAnsi" w:cstheme="majorHAnsi"/>
                <w:szCs w:val="20"/>
              </w:rPr>
            </w:pPr>
            <w:r w:rsidRPr="004962FD">
              <w:rPr>
                <w:rFonts w:asciiTheme="majorHAnsi" w:hAnsiTheme="majorHAnsi" w:cstheme="majorHAnsi"/>
                <w:szCs w:val="20"/>
              </w:rPr>
              <w:t xml:space="preserve">PIU/M&amp;E </w:t>
            </w:r>
            <w:r w:rsidR="00243181">
              <w:rPr>
                <w:rFonts w:asciiTheme="majorHAnsi" w:hAnsiTheme="majorHAnsi" w:cstheme="majorHAnsi"/>
                <w:szCs w:val="20"/>
              </w:rPr>
              <w:t>stručnjak</w:t>
            </w:r>
          </w:p>
        </w:tc>
      </w:tr>
    </w:tbl>
    <w:p w14:paraId="0A3F8593" w14:textId="77777777" w:rsidR="007E15DB" w:rsidRPr="00386B69" w:rsidRDefault="007E15DB" w:rsidP="00AC0E2C">
      <w:pPr>
        <w:ind w:left="720" w:right="576"/>
        <w:rPr>
          <w:rFonts w:asciiTheme="majorHAnsi" w:hAnsiTheme="majorHAnsi" w:cstheme="majorHAnsi"/>
          <w:sz w:val="22"/>
        </w:rPr>
      </w:pPr>
    </w:p>
    <w:p w14:paraId="41F40642" w14:textId="77777777" w:rsidR="007E15DB" w:rsidRPr="00386B69" w:rsidRDefault="00811B0E" w:rsidP="00AC0E2C">
      <w:pPr>
        <w:ind w:left="720" w:right="576"/>
        <w:rPr>
          <w:rFonts w:asciiTheme="majorHAnsi" w:hAnsiTheme="majorHAnsi" w:cstheme="majorHAnsi"/>
          <w:sz w:val="22"/>
        </w:rPr>
      </w:pPr>
      <w:r w:rsidRPr="00386B69">
        <w:rPr>
          <w:rFonts w:asciiTheme="majorHAnsi" w:hAnsiTheme="majorHAnsi" w:cstheme="majorHAnsi"/>
          <w:sz w:val="22"/>
        </w:rPr>
        <w:br w:type="page"/>
      </w:r>
    </w:p>
    <w:p w14:paraId="49A0F21C" w14:textId="0F51E359" w:rsidR="007E15DB" w:rsidRPr="004962FD" w:rsidRDefault="00D152BD" w:rsidP="004962FD">
      <w:pPr>
        <w:ind w:right="576"/>
        <w:jc w:val="center"/>
        <w:rPr>
          <w:rFonts w:asciiTheme="majorHAnsi" w:hAnsiTheme="majorHAnsi" w:cstheme="majorHAnsi"/>
          <w:b/>
          <w:bCs/>
          <w:sz w:val="22"/>
        </w:rPr>
      </w:pPr>
      <w:r>
        <w:rPr>
          <w:rFonts w:asciiTheme="majorHAnsi" w:hAnsiTheme="majorHAnsi" w:cstheme="majorHAnsi"/>
          <w:b/>
          <w:bCs/>
          <w:sz w:val="22"/>
        </w:rPr>
        <w:lastRenderedPageBreak/>
        <w:t>Aneksi</w:t>
      </w:r>
    </w:p>
    <w:p w14:paraId="3E74F7BC" w14:textId="56973648" w:rsidR="007E15DB" w:rsidRPr="00386B69" w:rsidRDefault="00D152BD" w:rsidP="00AC0E2C">
      <w:pPr>
        <w:pStyle w:val="Heading2"/>
        <w:spacing w:before="60" w:after="120"/>
        <w:ind w:left="720" w:right="576"/>
        <w:rPr>
          <w:rFonts w:cstheme="majorHAnsi"/>
          <w:color w:val="auto"/>
          <w:sz w:val="22"/>
          <w:szCs w:val="22"/>
        </w:rPr>
      </w:pPr>
      <w:r>
        <w:rPr>
          <w:rFonts w:eastAsia="Arial" w:cstheme="majorHAnsi"/>
          <w:color w:val="auto"/>
          <w:sz w:val="22"/>
          <w:szCs w:val="22"/>
        </w:rPr>
        <w:t xml:space="preserve">Aneks 1: </w:t>
      </w:r>
      <w:r w:rsidRPr="00D152BD">
        <w:rPr>
          <w:rFonts w:eastAsia="Arial" w:cstheme="majorHAnsi"/>
          <w:color w:val="auto"/>
          <w:sz w:val="22"/>
          <w:szCs w:val="22"/>
        </w:rPr>
        <w:t>Šablon za evidenciju aktivnosti uključivanja zainteresovanih strana</w:t>
      </w:r>
    </w:p>
    <w:tbl>
      <w:tblPr>
        <w:tblStyle w:val="TableGrid"/>
        <w:tblW w:w="5000" w:type="pct"/>
        <w:jc w:val="center"/>
        <w:tblLook w:val="04A0" w:firstRow="1" w:lastRow="0" w:firstColumn="1" w:lastColumn="0" w:noHBand="0" w:noVBand="1"/>
      </w:tblPr>
      <w:tblGrid>
        <w:gridCol w:w="1032"/>
        <w:gridCol w:w="1531"/>
        <w:gridCol w:w="1441"/>
        <w:gridCol w:w="1254"/>
        <w:gridCol w:w="1173"/>
        <w:gridCol w:w="1211"/>
        <w:gridCol w:w="1745"/>
        <w:gridCol w:w="1259"/>
      </w:tblGrid>
      <w:tr w:rsidR="00961254" w:rsidRPr="00386B69" w14:paraId="176C9B14" w14:textId="77777777" w:rsidTr="00AC0E2C">
        <w:trPr>
          <w:cantSplit/>
          <w:tblHeader/>
          <w:jc w:val="center"/>
        </w:trPr>
        <w:tc>
          <w:tcPr>
            <w:tcW w:w="1078" w:type="dxa"/>
            <w:shd w:val="clear" w:color="auto" w:fill="D9EAF7"/>
            <w:tcMar>
              <w:top w:w="60" w:type="dxa"/>
              <w:left w:w="60" w:type="dxa"/>
              <w:bottom w:w="60" w:type="dxa"/>
              <w:right w:w="60" w:type="dxa"/>
            </w:tcMar>
          </w:tcPr>
          <w:p w14:paraId="2850BFCA" w14:textId="39390BFD" w:rsidR="007E15DB" w:rsidRPr="004962FD" w:rsidRDefault="00D152BD" w:rsidP="00AC0E2C">
            <w:pPr>
              <w:rPr>
                <w:rFonts w:asciiTheme="majorHAnsi" w:hAnsiTheme="majorHAnsi" w:cstheme="majorHAnsi"/>
                <w:szCs w:val="20"/>
              </w:rPr>
            </w:pPr>
            <w:r>
              <w:rPr>
                <w:rFonts w:asciiTheme="majorHAnsi" w:hAnsiTheme="majorHAnsi" w:cstheme="majorHAnsi"/>
                <w:b/>
                <w:szCs w:val="20"/>
              </w:rPr>
              <w:t>Datum</w:t>
            </w:r>
          </w:p>
        </w:tc>
        <w:tc>
          <w:tcPr>
            <w:tcW w:w="1634" w:type="dxa"/>
            <w:shd w:val="clear" w:color="auto" w:fill="D9EAF7"/>
            <w:tcMar>
              <w:top w:w="60" w:type="dxa"/>
              <w:left w:w="60" w:type="dxa"/>
              <w:bottom w:w="60" w:type="dxa"/>
              <w:right w:w="60" w:type="dxa"/>
            </w:tcMar>
          </w:tcPr>
          <w:p w14:paraId="3CDA6FB7" w14:textId="612BF17E" w:rsidR="007E15DB" w:rsidRPr="004962FD" w:rsidRDefault="00D152BD" w:rsidP="00AC0E2C">
            <w:pPr>
              <w:rPr>
                <w:rFonts w:asciiTheme="majorHAnsi" w:hAnsiTheme="majorHAnsi" w:cstheme="majorHAnsi"/>
                <w:szCs w:val="20"/>
              </w:rPr>
            </w:pPr>
            <w:r>
              <w:rPr>
                <w:rFonts w:asciiTheme="majorHAnsi" w:hAnsiTheme="majorHAnsi" w:cstheme="majorHAnsi"/>
                <w:b/>
                <w:szCs w:val="20"/>
              </w:rPr>
              <w:t>Mesto</w:t>
            </w:r>
            <w:r w:rsidR="00811B0E" w:rsidRPr="004962FD">
              <w:rPr>
                <w:rFonts w:asciiTheme="majorHAnsi" w:hAnsiTheme="majorHAnsi" w:cstheme="majorHAnsi"/>
                <w:b/>
                <w:szCs w:val="20"/>
              </w:rPr>
              <w:t>/format</w:t>
            </w:r>
          </w:p>
        </w:tc>
        <w:tc>
          <w:tcPr>
            <w:tcW w:w="1412" w:type="dxa"/>
            <w:shd w:val="clear" w:color="auto" w:fill="D9EAF7"/>
            <w:tcMar>
              <w:top w:w="60" w:type="dxa"/>
              <w:left w:w="60" w:type="dxa"/>
              <w:bottom w:w="60" w:type="dxa"/>
              <w:right w:w="60" w:type="dxa"/>
            </w:tcMar>
          </w:tcPr>
          <w:p w14:paraId="22FC9653" w14:textId="3649B04B" w:rsidR="007E15DB" w:rsidRPr="004962FD" w:rsidRDefault="00D152BD" w:rsidP="00AC0E2C">
            <w:pPr>
              <w:rPr>
                <w:rFonts w:asciiTheme="majorHAnsi" w:hAnsiTheme="majorHAnsi" w:cstheme="majorHAnsi"/>
                <w:szCs w:val="20"/>
              </w:rPr>
            </w:pPr>
            <w:r>
              <w:rPr>
                <w:rFonts w:asciiTheme="majorHAnsi" w:hAnsiTheme="majorHAnsi" w:cstheme="majorHAnsi"/>
                <w:b/>
                <w:szCs w:val="20"/>
              </w:rPr>
              <w:t>Grupa zainteresovanih strana</w:t>
            </w:r>
          </w:p>
        </w:tc>
        <w:tc>
          <w:tcPr>
            <w:tcW w:w="1404" w:type="dxa"/>
            <w:shd w:val="clear" w:color="auto" w:fill="D9EAF7"/>
            <w:tcMar>
              <w:top w:w="60" w:type="dxa"/>
              <w:left w:w="60" w:type="dxa"/>
              <w:bottom w:w="60" w:type="dxa"/>
              <w:right w:w="60" w:type="dxa"/>
            </w:tcMar>
          </w:tcPr>
          <w:p w14:paraId="4F1FB5A2" w14:textId="7408C5E3" w:rsidR="007E15DB" w:rsidRPr="004962FD" w:rsidRDefault="00D152BD" w:rsidP="00AC0E2C">
            <w:pPr>
              <w:rPr>
                <w:rFonts w:asciiTheme="majorHAnsi" w:hAnsiTheme="majorHAnsi" w:cstheme="majorHAnsi"/>
                <w:szCs w:val="20"/>
              </w:rPr>
            </w:pPr>
            <w:r>
              <w:rPr>
                <w:rFonts w:asciiTheme="majorHAnsi" w:hAnsiTheme="majorHAnsi" w:cstheme="majorHAnsi"/>
                <w:b/>
                <w:szCs w:val="20"/>
              </w:rPr>
              <w:t>Učesnici</w:t>
            </w:r>
          </w:p>
        </w:tc>
        <w:tc>
          <w:tcPr>
            <w:tcW w:w="1285" w:type="dxa"/>
            <w:shd w:val="clear" w:color="auto" w:fill="D9EAF7"/>
            <w:tcMar>
              <w:top w:w="60" w:type="dxa"/>
              <w:left w:w="60" w:type="dxa"/>
              <w:bottom w:w="60" w:type="dxa"/>
              <w:right w:w="60" w:type="dxa"/>
            </w:tcMar>
          </w:tcPr>
          <w:p w14:paraId="0E87ECA2" w14:textId="0E7E0F07" w:rsidR="007E15DB" w:rsidRPr="004962FD" w:rsidRDefault="00D152BD" w:rsidP="00AC0E2C">
            <w:pPr>
              <w:rPr>
                <w:rFonts w:asciiTheme="majorHAnsi" w:hAnsiTheme="majorHAnsi" w:cstheme="majorHAnsi"/>
                <w:szCs w:val="20"/>
              </w:rPr>
            </w:pPr>
            <w:r>
              <w:rPr>
                <w:rFonts w:asciiTheme="majorHAnsi" w:hAnsiTheme="majorHAnsi" w:cstheme="majorHAnsi"/>
                <w:b/>
                <w:szCs w:val="20"/>
              </w:rPr>
              <w:t>Tema diskusije</w:t>
            </w:r>
          </w:p>
        </w:tc>
        <w:tc>
          <w:tcPr>
            <w:tcW w:w="1280" w:type="dxa"/>
            <w:shd w:val="clear" w:color="auto" w:fill="D9EAF7"/>
            <w:tcMar>
              <w:top w:w="60" w:type="dxa"/>
              <w:left w:w="60" w:type="dxa"/>
              <w:bottom w:w="60" w:type="dxa"/>
              <w:right w:w="60" w:type="dxa"/>
            </w:tcMar>
          </w:tcPr>
          <w:p w14:paraId="0F8DC218" w14:textId="771C0231" w:rsidR="007E15DB" w:rsidRPr="004962FD" w:rsidRDefault="00D152BD" w:rsidP="00AC0E2C">
            <w:pPr>
              <w:rPr>
                <w:rFonts w:asciiTheme="majorHAnsi" w:hAnsiTheme="majorHAnsi" w:cstheme="majorHAnsi"/>
                <w:szCs w:val="20"/>
              </w:rPr>
            </w:pPr>
            <w:r>
              <w:rPr>
                <w:rFonts w:asciiTheme="majorHAnsi" w:hAnsiTheme="majorHAnsi" w:cstheme="majorHAnsi"/>
                <w:b/>
                <w:szCs w:val="20"/>
              </w:rPr>
              <w:t>Dobijene povratne informacije</w:t>
            </w:r>
          </w:p>
        </w:tc>
        <w:tc>
          <w:tcPr>
            <w:tcW w:w="1697" w:type="dxa"/>
            <w:shd w:val="clear" w:color="auto" w:fill="D9EAF7"/>
            <w:tcMar>
              <w:top w:w="60" w:type="dxa"/>
              <w:left w:w="60" w:type="dxa"/>
              <w:bottom w:w="60" w:type="dxa"/>
              <w:right w:w="60" w:type="dxa"/>
            </w:tcMar>
          </w:tcPr>
          <w:p w14:paraId="4C5BD1E2" w14:textId="649BF6F0" w:rsidR="007E15DB" w:rsidRPr="004962FD" w:rsidRDefault="00D152BD" w:rsidP="00AC0E2C">
            <w:pPr>
              <w:rPr>
                <w:rFonts w:asciiTheme="majorHAnsi" w:hAnsiTheme="majorHAnsi" w:cstheme="majorHAnsi"/>
                <w:szCs w:val="20"/>
              </w:rPr>
            </w:pPr>
            <w:r>
              <w:rPr>
                <w:rFonts w:asciiTheme="majorHAnsi" w:hAnsiTheme="majorHAnsi" w:cstheme="majorHAnsi"/>
                <w:b/>
                <w:szCs w:val="20"/>
              </w:rPr>
              <w:t>Odgovor/</w:t>
            </w:r>
            <w:r w:rsidR="00961254">
              <w:rPr>
                <w:rFonts w:asciiTheme="majorHAnsi" w:hAnsiTheme="majorHAnsi" w:cstheme="majorHAnsi"/>
                <w:b/>
                <w:szCs w:val="20"/>
              </w:rPr>
              <w:t>aktivnosti praćenja</w:t>
            </w:r>
          </w:p>
        </w:tc>
        <w:tc>
          <w:tcPr>
            <w:tcW w:w="1412" w:type="dxa"/>
            <w:shd w:val="clear" w:color="auto" w:fill="D9EAF7"/>
            <w:tcMar>
              <w:top w:w="60" w:type="dxa"/>
              <w:left w:w="60" w:type="dxa"/>
              <w:bottom w:w="60" w:type="dxa"/>
              <w:right w:w="60" w:type="dxa"/>
            </w:tcMar>
          </w:tcPr>
          <w:p w14:paraId="798FA9A8" w14:textId="0F78C78F" w:rsidR="007E15DB" w:rsidRPr="004962FD" w:rsidRDefault="00D152BD" w:rsidP="00AC0E2C">
            <w:pPr>
              <w:rPr>
                <w:rFonts w:asciiTheme="majorHAnsi" w:hAnsiTheme="majorHAnsi" w:cstheme="majorHAnsi"/>
                <w:szCs w:val="20"/>
              </w:rPr>
            </w:pPr>
            <w:r>
              <w:rPr>
                <w:rFonts w:asciiTheme="majorHAnsi" w:hAnsiTheme="majorHAnsi" w:cstheme="majorHAnsi"/>
                <w:b/>
                <w:szCs w:val="20"/>
              </w:rPr>
              <w:t>Nadležno telo</w:t>
            </w:r>
          </w:p>
        </w:tc>
      </w:tr>
      <w:tr w:rsidR="00961254" w:rsidRPr="00386B69" w14:paraId="4E9CC4C6" w14:textId="77777777" w:rsidTr="00AC0E2C">
        <w:trPr>
          <w:cantSplit/>
          <w:jc w:val="center"/>
        </w:trPr>
        <w:tc>
          <w:tcPr>
            <w:tcW w:w="1078" w:type="dxa"/>
            <w:tcMar>
              <w:top w:w="60" w:type="dxa"/>
              <w:left w:w="60" w:type="dxa"/>
              <w:bottom w:w="60" w:type="dxa"/>
              <w:right w:w="60" w:type="dxa"/>
            </w:tcMar>
          </w:tcPr>
          <w:p w14:paraId="3C860A49" w14:textId="66E4C667" w:rsidR="007E15DB" w:rsidRPr="004962FD" w:rsidRDefault="00D152BD" w:rsidP="00D152BD">
            <w:pPr>
              <w:rPr>
                <w:rFonts w:asciiTheme="majorHAnsi" w:hAnsiTheme="majorHAnsi" w:cstheme="majorHAnsi"/>
                <w:szCs w:val="20"/>
              </w:rPr>
            </w:pPr>
            <w:r>
              <w:rPr>
                <w:rFonts w:asciiTheme="majorHAnsi" w:hAnsiTheme="majorHAnsi" w:cstheme="majorHAnsi"/>
                <w:szCs w:val="20"/>
              </w:rPr>
              <w:t>[biće naknadno utvrđeno</w:t>
            </w:r>
            <w:r w:rsidR="00811B0E" w:rsidRPr="004962FD">
              <w:rPr>
                <w:rFonts w:asciiTheme="majorHAnsi" w:hAnsiTheme="majorHAnsi" w:cstheme="majorHAnsi"/>
                <w:szCs w:val="20"/>
              </w:rPr>
              <w:t>]</w:t>
            </w:r>
          </w:p>
        </w:tc>
        <w:tc>
          <w:tcPr>
            <w:tcW w:w="1634" w:type="dxa"/>
            <w:tcMar>
              <w:top w:w="60" w:type="dxa"/>
              <w:left w:w="60" w:type="dxa"/>
              <w:bottom w:w="60" w:type="dxa"/>
              <w:right w:w="60" w:type="dxa"/>
            </w:tcMar>
          </w:tcPr>
          <w:p w14:paraId="7D4558F3" w14:textId="3EF1433D"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1412" w:type="dxa"/>
            <w:tcMar>
              <w:top w:w="60" w:type="dxa"/>
              <w:left w:w="60" w:type="dxa"/>
              <w:bottom w:w="60" w:type="dxa"/>
              <w:right w:w="60" w:type="dxa"/>
            </w:tcMar>
          </w:tcPr>
          <w:p w14:paraId="68725896" w14:textId="1A17A962"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1404" w:type="dxa"/>
            <w:tcMar>
              <w:top w:w="60" w:type="dxa"/>
              <w:left w:w="60" w:type="dxa"/>
              <w:bottom w:w="60" w:type="dxa"/>
              <w:right w:w="60" w:type="dxa"/>
            </w:tcMar>
          </w:tcPr>
          <w:p w14:paraId="05BD6B81" w14:textId="6805D38E"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1285" w:type="dxa"/>
            <w:tcMar>
              <w:top w:w="60" w:type="dxa"/>
              <w:left w:w="60" w:type="dxa"/>
              <w:bottom w:w="60" w:type="dxa"/>
              <w:right w:w="60" w:type="dxa"/>
            </w:tcMar>
          </w:tcPr>
          <w:p w14:paraId="4ED1F4C0" w14:textId="7068C899"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1280" w:type="dxa"/>
            <w:tcMar>
              <w:top w:w="60" w:type="dxa"/>
              <w:left w:w="60" w:type="dxa"/>
              <w:bottom w:w="60" w:type="dxa"/>
              <w:right w:w="60" w:type="dxa"/>
            </w:tcMar>
          </w:tcPr>
          <w:p w14:paraId="67A74F20" w14:textId="315F3A9D"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1697" w:type="dxa"/>
            <w:tcMar>
              <w:top w:w="60" w:type="dxa"/>
              <w:left w:w="60" w:type="dxa"/>
              <w:bottom w:w="60" w:type="dxa"/>
              <w:right w:w="60" w:type="dxa"/>
            </w:tcMar>
          </w:tcPr>
          <w:p w14:paraId="1893759D" w14:textId="0A7003D0"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c>
          <w:tcPr>
            <w:tcW w:w="1412" w:type="dxa"/>
            <w:tcMar>
              <w:top w:w="60" w:type="dxa"/>
              <w:left w:w="60" w:type="dxa"/>
              <w:bottom w:w="60" w:type="dxa"/>
              <w:right w:w="60" w:type="dxa"/>
            </w:tcMar>
          </w:tcPr>
          <w:p w14:paraId="6C13CC98" w14:textId="6785ADA1"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D152BD" w:rsidRPr="00D152BD">
              <w:rPr>
                <w:rFonts w:asciiTheme="majorHAnsi" w:hAnsiTheme="majorHAnsi" w:cstheme="majorHAnsi"/>
                <w:szCs w:val="20"/>
              </w:rPr>
              <w:t>biće naknadno utvrđeno</w:t>
            </w:r>
            <w:r w:rsidRPr="004962FD">
              <w:rPr>
                <w:rFonts w:asciiTheme="majorHAnsi" w:hAnsiTheme="majorHAnsi" w:cstheme="majorHAnsi"/>
                <w:szCs w:val="20"/>
              </w:rPr>
              <w:t>]</w:t>
            </w:r>
          </w:p>
        </w:tc>
      </w:tr>
    </w:tbl>
    <w:p w14:paraId="69C22264" w14:textId="77777777" w:rsidR="00611C08" w:rsidRDefault="00611C08" w:rsidP="00611C08">
      <w:pPr>
        <w:pStyle w:val="Heading2"/>
        <w:spacing w:before="60" w:after="120"/>
        <w:ind w:right="576"/>
        <w:rPr>
          <w:rFonts w:eastAsia="Arial" w:cstheme="majorHAnsi"/>
          <w:color w:val="auto"/>
          <w:sz w:val="22"/>
          <w:szCs w:val="22"/>
        </w:rPr>
      </w:pPr>
    </w:p>
    <w:p w14:paraId="7E046B21" w14:textId="1FFCD922" w:rsidR="007E15DB" w:rsidRPr="00386B69" w:rsidRDefault="00811B0E" w:rsidP="00AC0E2C">
      <w:pPr>
        <w:pStyle w:val="Heading2"/>
        <w:spacing w:before="60" w:after="120"/>
        <w:ind w:left="720" w:right="576"/>
        <w:rPr>
          <w:rFonts w:cstheme="majorHAnsi"/>
          <w:color w:val="auto"/>
          <w:sz w:val="22"/>
          <w:szCs w:val="22"/>
        </w:rPr>
      </w:pPr>
      <w:r w:rsidRPr="00386B69">
        <w:rPr>
          <w:rFonts w:eastAsia="Arial" w:cstheme="majorHAnsi"/>
          <w:color w:val="auto"/>
          <w:sz w:val="22"/>
          <w:szCs w:val="22"/>
        </w:rPr>
        <w:t xml:space="preserve">Annex </w:t>
      </w:r>
      <w:r w:rsidR="00961254">
        <w:rPr>
          <w:rFonts w:eastAsia="Arial" w:cstheme="majorHAnsi"/>
          <w:color w:val="auto"/>
          <w:sz w:val="22"/>
          <w:szCs w:val="22"/>
        </w:rPr>
        <w:t>2: Šablon zapisnika sa konsultacija</w:t>
      </w:r>
    </w:p>
    <w:p w14:paraId="0A8EBDB6" w14:textId="0675A312" w:rsidR="007E15DB" w:rsidRPr="00386B69" w:rsidRDefault="00961254" w:rsidP="00AC0E2C">
      <w:pPr>
        <w:spacing w:after="120" w:line="252" w:lineRule="auto"/>
        <w:ind w:left="720" w:right="576"/>
        <w:jc w:val="both"/>
        <w:rPr>
          <w:rFonts w:asciiTheme="majorHAnsi" w:hAnsiTheme="majorHAnsi" w:cstheme="majorHAnsi"/>
          <w:sz w:val="22"/>
        </w:rPr>
      </w:pPr>
      <w:r>
        <w:rPr>
          <w:rFonts w:asciiTheme="majorHAnsi" w:hAnsiTheme="majorHAnsi" w:cstheme="majorHAnsi"/>
          <w:b/>
          <w:sz w:val="22"/>
        </w:rPr>
        <w:t>Naziv</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Datum</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Mesto</w:t>
      </w:r>
      <w:r w:rsidR="00811B0E" w:rsidRPr="00386B69">
        <w:rPr>
          <w:rFonts w:asciiTheme="majorHAnsi" w:hAnsiTheme="majorHAnsi" w:cstheme="majorHAnsi"/>
          <w:b/>
          <w:sz w:val="22"/>
        </w:rPr>
        <w:t>/format: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Organizovao</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Učesnici</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Cilj konsultacija</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Predstavljene informacije o projektu</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00394319" w:rsidRPr="00394319">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Glavne teme diskusije</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sidR="00AF1340">
        <w:rPr>
          <w:rFonts w:asciiTheme="majorHAnsi" w:hAnsiTheme="majorHAnsi" w:cstheme="majorHAnsi"/>
          <w:b/>
          <w:sz w:val="22"/>
        </w:rPr>
        <w:t>Pitanja i</w:t>
      </w:r>
      <w:bookmarkStart w:id="0" w:name="_GoBack"/>
      <w:bookmarkEnd w:id="0"/>
      <w:r>
        <w:rPr>
          <w:rFonts w:asciiTheme="majorHAnsi" w:hAnsiTheme="majorHAnsi" w:cstheme="majorHAnsi"/>
          <w:b/>
          <w:sz w:val="22"/>
        </w:rPr>
        <w:t xml:space="preserve"> komentari</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Odgovori</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Pr>
          <w:rFonts w:asciiTheme="majorHAnsi" w:hAnsiTheme="majorHAnsi" w:cstheme="majorHAnsi"/>
          <w:b/>
          <w:sz w:val="22"/>
        </w:rPr>
        <w:t>Aktivnost praćenja</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00394319" w:rsidRPr="00394319">
        <w:rPr>
          <w:rFonts w:asciiTheme="majorHAnsi" w:hAnsiTheme="majorHAnsi" w:cstheme="majorHAnsi"/>
          <w:sz w:val="22"/>
        </w:rPr>
        <w:t>biće naknadno utvrđeno</w:t>
      </w:r>
      <w:r w:rsidR="00811B0E" w:rsidRPr="00386B69">
        <w:rPr>
          <w:rFonts w:asciiTheme="majorHAnsi" w:hAnsiTheme="majorHAnsi" w:cstheme="majorHAnsi"/>
          <w:sz w:val="22"/>
        </w:rPr>
        <w:t xml:space="preserve">] </w:t>
      </w:r>
      <w:r w:rsidR="00FA6A52">
        <w:rPr>
          <w:rFonts w:asciiTheme="majorHAnsi" w:hAnsiTheme="majorHAnsi" w:cstheme="majorHAnsi"/>
          <w:b/>
          <w:sz w:val="22"/>
        </w:rPr>
        <w:t>Nadležo telo</w:t>
      </w:r>
      <w:r w:rsidR="00811B0E" w:rsidRPr="00386B69">
        <w:rPr>
          <w:rFonts w:asciiTheme="majorHAnsi" w:hAnsiTheme="majorHAnsi" w:cstheme="majorHAnsi"/>
          <w:b/>
          <w:sz w:val="22"/>
        </w:rPr>
        <w:t>:</w:t>
      </w:r>
      <w:r w:rsidR="00811B0E" w:rsidRPr="00386B69">
        <w:rPr>
          <w:rFonts w:asciiTheme="majorHAnsi" w:hAnsiTheme="majorHAnsi" w:cstheme="majorHAnsi"/>
          <w:sz w:val="22"/>
        </w:rPr>
        <w:t xml:space="preserve"> [</w:t>
      </w:r>
      <w:r w:rsidRPr="00961254">
        <w:rPr>
          <w:rFonts w:asciiTheme="majorHAnsi" w:hAnsiTheme="majorHAnsi" w:cstheme="majorHAnsi"/>
          <w:sz w:val="22"/>
        </w:rPr>
        <w:t>biće naknadno utvrđeno</w:t>
      </w:r>
      <w:r w:rsidR="00811B0E" w:rsidRPr="00386B69">
        <w:rPr>
          <w:rFonts w:asciiTheme="majorHAnsi" w:hAnsiTheme="majorHAnsi" w:cstheme="majorHAnsi"/>
          <w:sz w:val="22"/>
        </w:rPr>
        <w:t>]</w:t>
      </w:r>
    </w:p>
    <w:p w14:paraId="2110B82D" w14:textId="02598D61" w:rsidR="007E15DB" w:rsidRPr="00386B69" w:rsidRDefault="00FA6A52" w:rsidP="00AC0E2C">
      <w:pPr>
        <w:pStyle w:val="Heading2"/>
        <w:spacing w:before="60" w:after="120"/>
        <w:ind w:left="720" w:right="576"/>
        <w:rPr>
          <w:rFonts w:cstheme="majorHAnsi"/>
          <w:color w:val="auto"/>
          <w:sz w:val="22"/>
          <w:szCs w:val="22"/>
        </w:rPr>
      </w:pPr>
      <w:r>
        <w:rPr>
          <w:rFonts w:eastAsia="Arial" w:cstheme="majorHAnsi"/>
          <w:color w:val="auto"/>
          <w:sz w:val="22"/>
          <w:szCs w:val="22"/>
        </w:rPr>
        <w:t>Aneks 3: Obrazac za pritužbu</w:t>
      </w:r>
    </w:p>
    <w:tbl>
      <w:tblPr>
        <w:tblStyle w:val="TableGrid"/>
        <w:tblW w:w="5000" w:type="pct"/>
        <w:jc w:val="center"/>
        <w:tblLook w:val="04A0" w:firstRow="1" w:lastRow="0" w:firstColumn="1" w:lastColumn="0" w:noHBand="0" w:noVBand="1"/>
      </w:tblPr>
      <w:tblGrid>
        <w:gridCol w:w="5324"/>
        <w:gridCol w:w="5322"/>
      </w:tblGrid>
      <w:tr w:rsidR="00386B69" w:rsidRPr="00386B69" w14:paraId="53A962F7" w14:textId="77777777">
        <w:trPr>
          <w:cantSplit/>
          <w:tblHeader/>
          <w:jc w:val="center"/>
        </w:trPr>
        <w:tc>
          <w:tcPr>
            <w:tcW w:w="5328" w:type="dxa"/>
            <w:shd w:val="clear" w:color="auto" w:fill="D9EAF7"/>
            <w:tcMar>
              <w:top w:w="60" w:type="dxa"/>
              <w:left w:w="60" w:type="dxa"/>
              <w:bottom w:w="60" w:type="dxa"/>
              <w:right w:w="60" w:type="dxa"/>
            </w:tcMar>
          </w:tcPr>
          <w:p w14:paraId="19764DA6" w14:textId="529CCE6B" w:rsidR="007E15DB" w:rsidRPr="00386B69" w:rsidRDefault="00FA6A52" w:rsidP="00AC0E2C">
            <w:pPr>
              <w:rPr>
                <w:rFonts w:asciiTheme="majorHAnsi" w:hAnsiTheme="majorHAnsi" w:cstheme="majorHAnsi"/>
                <w:sz w:val="22"/>
              </w:rPr>
            </w:pPr>
            <w:r>
              <w:rPr>
                <w:rFonts w:asciiTheme="majorHAnsi" w:hAnsiTheme="majorHAnsi" w:cstheme="majorHAnsi"/>
                <w:b/>
              </w:rPr>
              <w:t>Polje</w:t>
            </w:r>
          </w:p>
        </w:tc>
        <w:tc>
          <w:tcPr>
            <w:tcW w:w="5328" w:type="dxa"/>
            <w:shd w:val="clear" w:color="auto" w:fill="D9EAF7"/>
            <w:tcMar>
              <w:top w:w="60" w:type="dxa"/>
              <w:left w:w="60" w:type="dxa"/>
              <w:bottom w:w="60" w:type="dxa"/>
              <w:right w:w="60" w:type="dxa"/>
            </w:tcMar>
          </w:tcPr>
          <w:p w14:paraId="6A8D8EBA" w14:textId="52813792" w:rsidR="007E15DB" w:rsidRPr="00386B69" w:rsidRDefault="00FA6A52" w:rsidP="00AC0E2C">
            <w:pPr>
              <w:rPr>
                <w:rFonts w:asciiTheme="majorHAnsi" w:hAnsiTheme="majorHAnsi" w:cstheme="majorHAnsi"/>
                <w:sz w:val="22"/>
              </w:rPr>
            </w:pPr>
            <w:r>
              <w:rPr>
                <w:rFonts w:asciiTheme="majorHAnsi" w:hAnsiTheme="majorHAnsi" w:cstheme="majorHAnsi"/>
                <w:b/>
              </w:rPr>
              <w:t>Informacije</w:t>
            </w:r>
          </w:p>
        </w:tc>
      </w:tr>
      <w:tr w:rsidR="00386B69" w:rsidRPr="00386B69" w14:paraId="7ADE9592" w14:textId="77777777">
        <w:trPr>
          <w:cantSplit/>
          <w:jc w:val="center"/>
        </w:trPr>
        <w:tc>
          <w:tcPr>
            <w:tcW w:w="5328" w:type="dxa"/>
            <w:tcMar>
              <w:top w:w="60" w:type="dxa"/>
              <w:left w:w="60" w:type="dxa"/>
              <w:bottom w:w="60" w:type="dxa"/>
              <w:right w:w="60" w:type="dxa"/>
            </w:tcMar>
          </w:tcPr>
          <w:p w14:paraId="24467F10" w14:textId="5C43459A" w:rsidR="007E15DB" w:rsidRPr="00386B69" w:rsidRDefault="00FA6A52" w:rsidP="00AC0E2C">
            <w:pPr>
              <w:rPr>
                <w:rFonts w:asciiTheme="majorHAnsi" w:hAnsiTheme="majorHAnsi" w:cstheme="majorHAnsi"/>
                <w:sz w:val="22"/>
              </w:rPr>
            </w:pPr>
            <w:r>
              <w:rPr>
                <w:rFonts w:asciiTheme="majorHAnsi" w:hAnsiTheme="majorHAnsi" w:cstheme="majorHAnsi"/>
              </w:rPr>
              <w:t>Ime</w:t>
            </w:r>
          </w:p>
        </w:tc>
        <w:tc>
          <w:tcPr>
            <w:tcW w:w="5328" w:type="dxa"/>
            <w:tcMar>
              <w:top w:w="60" w:type="dxa"/>
              <w:left w:w="60" w:type="dxa"/>
              <w:bottom w:w="60" w:type="dxa"/>
              <w:right w:w="60" w:type="dxa"/>
            </w:tcMar>
          </w:tcPr>
          <w:p w14:paraId="3F8560C7" w14:textId="34BABAAE" w:rsidR="007E15DB" w:rsidRPr="00386B69" w:rsidRDefault="00FA6A52" w:rsidP="00AC0E2C">
            <w:pPr>
              <w:rPr>
                <w:rFonts w:asciiTheme="majorHAnsi" w:hAnsiTheme="majorHAnsi" w:cstheme="majorHAnsi"/>
                <w:sz w:val="22"/>
              </w:rPr>
            </w:pPr>
            <w:r>
              <w:rPr>
                <w:rFonts w:asciiTheme="majorHAnsi" w:hAnsiTheme="majorHAnsi" w:cstheme="majorHAnsi"/>
              </w:rPr>
              <w:t>[Opciono</w:t>
            </w:r>
            <w:r w:rsidR="00811B0E" w:rsidRPr="00386B69">
              <w:rPr>
                <w:rFonts w:asciiTheme="majorHAnsi" w:hAnsiTheme="majorHAnsi" w:cstheme="majorHAnsi"/>
              </w:rPr>
              <w:t>]</w:t>
            </w:r>
          </w:p>
        </w:tc>
      </w:tr>
      <w:tr w:rsidR="00386B69" w:rsidRPr="00386B69" w14:paraId="519601D0" w14:textId="77777777">
        <w:trPr>
          <w:cantSplit/>
          <w:jc w:val="center"/>
        </w:trPr>
        <w:tc>
          <w:tcPr>
            <w:tcW w:w="5328" w:type="dxa"/>
            <w:tcMar>
              <w:top w:w="60" w:type="dxa"/>
              <w:left w:w="60" w:type="dxa"/>
              <w:bottom w:w="60" w:type="dxa"/>
              <w:right w:w="60" w:type="dxa"/>
            </w:tcMar>
          </w:tcPr>
          <w:p w14:paraId="481CF5BA" w14:textId="3B4D225B" w:rsidR="007E15DB" w:rsidRPr="00386B69" w:rsidRDefault="00FA6A52" w:rsidP="00AC0E2C">
            <w:pPr>
              <w:rPr>
                <w:rFonts w:asciiTheme="majorHAnsi" w:hAnsiTheme="majorHAnsi" w:cstheme="majorHAnsi"/>
                <w:sz w:val="22"/>
              </w:rPr>
            </w:pPr>
            <w:r>
              <w:rPr>
                <w:rFonts w:asciiTheme="majorHAnsi" w:hAnsiTheme="majorHAnsi" w:cstheme="majorHAnsi"/>
              </w:rPr>
              <w:t>Podaci za kontakt</w:t>
            </w:r>
          </w:p>
        </w:tc>
        <w:tc>
          <w:tcPr>
            <w:tcW w:w="5328" w:type="dxa"/>
            <w:tcMar>
              <w:top w:w="60" w:type="dxa"/>
              <w:left w:w="60" w:type="dxa"/>
              <w:bottom w:w="60" w:type="dxa"/>
              <w:right w:w="60" w:type="dxa"/>
            </w:tcMar>
          </w:tcPr>
          <w:p w14:paraId="1A0BCBCC" w14:textId="54D67CE6" w:rsidR="007E15DB" w:rsidRPr="00386B69" w:rsidRDefault="00FA6A52" w:rsidP="00AC0E2C">
            <w:pPr>
              <w:rPr>
                <w:rFonts w:asciiTheme="majorHAnsi" w:hAnsiTheme="majorHAnsi" w:cstheme="majorHAnsi"/>
                <w:sz w:val="22"/>
              </w:rPr>
            </w:pPr>
            <w:r>
              <w:rPr>
                <w:rFonts w:asciiTheme="majorHAnsi" w:hAnsiTheme="majorHAnsi" w:cstheme="majorHAnsi"/>
              </w:rPr>
              <w:t>[Opciono</w:t>
            </w:r>
            <w:r w:rsidR="00811B0E" w:rsidRPr="00386B69">
              <w:rPr>
                <w:rFonts w:asciiTheme="majorHAnsi" w:hAnsiTheme="majorHAnsi" w:cstheme="majorHAnsi"/>
              </w:rPr>
              <w:t>]</w:t>
            </w:r>
          </w:p>
        </w:tc>
      </w:tr>
      <w:tr w:rsidR="00386B69" w:rsidRPr="00386B69" w14:paraId="774AEB07" w14:textId="77777777">
        <w:trPr>
          <w:cantSplit/>
          <w:jc w:val="center"/>
        </w:trPr>
        <w:tc>
          <w:tcPr>
            <w:tcW w:w="5328" w:type="dxa"/>
            <w:tcMar>
              <w:top w:w="60" w:type="dxa"/>
              <w:left w:w="60" w:type="dxa"/>
              <w:bottom w:w="60" w:type="dxa"/>
              <w:right w:w="60" w:type="dxa"/>
            </w:tcMar>
          </w:tcPr>
          <w:p w14:paraId="02D064F4" w14:textId="78C3FB30" w:rsidR="007E15DB" w:rsidRPr="00A37848" w:rsidRDefault="00FA6A52" w:rsidP="00AC0E2C">
            <w:pPr>
              <w:rPr>
                <w:rFonts w:asciiTheme="majorHAnsi" w:hAnsiTheme="majorHAnsi" w:cstheme="majorHAnsi"/>
                <w:sz w:val="22"/>
                <w:lang w:val="sr-Latn-RS"/>
              </w:rPr>
            </w:pPr>
            <w:r>
              <w:rPr>
                <w:rFonts w:asciiTheme="majorHAnsi" w:hAnsiTheme="majorHAnsi" w:cstheme="majorHAnsi"/>
              </w:rPr>
              <w:t>Ž</w:t>
            </w:r>
            <w:r w:rsidR="00A37848">
              <w:rPr>
                <w:rFonts w:asciiTheme="majorHAnsi" w:hAnsiTheme="majorHAnsi" w:cstheme="majorHAnsi"/>
              </w:rPr>
              <w:t>eljeni</w:t>
            </w:r>
            <w:r w:rsidR="00A37848">
              <w:rPr>
                <w:rFonts w:asciiTheme="majorHAnsi" w:hAnsiTheme="majorHAnsi" w:cstheme="majorHAnsi"/>
                <w:lang w:val="sr-Latn-RS"/>
              </w:rPr>
              <w:t xml:space="preserve"> način komunikacije</w:t>
            </w:r>
          </w:p>
        </w:tc>
        <w:tc>
          <w:tcPr>
            <w:tcW w:w="5328" w:type="dxa"/>
            <w:tcMar>
              <w:top w:w="60" w:type="dxa"/>
              <w:left w:w="60" w:type="dxa"/>
              <w:bottom w:w="60" w:type="dxa"/>
              <w:right w:w="60" w:type="dxa"/>
            </w:tcMar>
          </w:tcPr>
          <w:p w14:paraId="0FBD96B2" w14:textId="0D3AE4F6" w:rsidR="007E15DB" w:rsidRPr="00386B69" w:rsidRDefault="00811B0E" w:rsidP="00AC0E2C">
            <w:pPr>
              <w:rPr>
                <w:rFonts w:asciiTheme="majorHAnsi" w:hAnsiTheme="majorHAnsi" w:cstheme="majorHAnsi"/>
                <w:sz w:val="22"/>
              </w:rPr>
            </w:pPr>
            <w:r w:rsidRPr="00386B69">
              <w:rPr>
                <w:rFonts w:asciiTheme="majorHAnsi" w:hAnsiTheme="majorHAnsi" w:cstheme="majorHAnsi"/>
              </w:rPr>
              <w:t>[</w:t>
            </w:r>
            <w:r w:rsidR="00D152BD" w:rsidRPr="00D152BD">
              <w:rPr>
                <w:rFonts w:asciiTheme="majorHAnsi" w:hAnsiTheme="majorHAnsi" w:cstheme="majorHAnsi"/>
              </w:rPr>
              <w:t>biće naknadno utvrđeno</w:t>
            </w:r>
            <w:r w:rsidRPr="00386B69">
              <w:rPr>
                <w:rFonts w:asciiTheme="majorHAnsi" w:hAnsiTheme="majorHAnsi" w:cstheme="majorHAnsi"/>
              </w:rPr>
              <w:t>]</w:t>
            </w:r>
          </w:p>
        </w:tc>
      </w:tr>
      <w:tr w:rsidR="00386B69" w:rsidRPr="00386B69" w14:paraId="6595717B" w14:textId="77777777">
        <w:trPr>
          <w:cantSplit/>
          <w:jc w:val="center"/>
        </w:trPr>
        <w:tc>
          <w:tcPr>
            <w:tcW w:w="5328" w:type="dxa"/>
            <w:tcMar>
              <w:top w:w="60" w:type="dxa"/>
              <w:left w:w="60" w:type="dxa"/>
              <w:bottom w:w="60" w:type="dxa"/>
              <w:right w:w="60" w:type="dxa"/>
            </w:tcMar>
          </w:tcPr>
          <w:p w14:paraId="10275D83" w14:textId="52D4A0A4" w:rsidR="007E15DB" w:rsidRPr="00386B69" w:rsidRDefault="00A37848" w:rsidP="00AC0E2C">
            <w:pPr>
              <w:rPr>
                <w:rFonts w:asciiTheme="majorHAnsi" w:hAnsiTheme="majorHAnsi" w:cstheme="majorHAnsi"/>
                <w:sz w:val="22"/>
              </w:rPr>
            </w:pPr>
            <w:r>
              <w:rPr>
                <w:rFonts w:asciiTheme="majorHAnsi" w:hAnsiTheme="majorHAnsi" w:cstheme="majorHAnsi"/>
              </w:rPr>
              <w:t>Datum podnošenja</w:t>
            </w:r>
          </w:p>
        </w:tc>
        <w:tc>
          <w:tcPr>
            <w:tcW w:w="5328" w:type="dxa"/>
            <w:tcMar>
              <w:top w:w="60" w:type="dxa"/>
              <w:left w:w="60" w:type="dxa"/>
              <w:bottom w:w="60" w:type="dxa"/>
              <w:right w:w="60" w:type="dxa"/>
            </w:tcMar>
          </w:tcPr>
          <w:p w14:paraId="513B28B4" w14:textId="4EAEB71C" w:rsidR="007E15DB" w:rsidRPr="00386B69" w:rsidRDefault="00811B0E" w:rsidP="00AC0E2C">
            <w:pPr>
              <w:rPr>
                <w:rFonts w:asciiTheme="majorHAnsi" w:hAnsiTheme="majorHAnsi" w:cstheme="majorHAnsi"/>
                <w:sz w:val="22"/>
              </w:rPr>
            </w:pPr>
            <w:r w:rsidRPr="00386B69">
              <w:rPr>
                <w:rFonts w:asciiTheme="majorHAnsi" w:hAnsiTheme="majorHAnsi" w:cstheme="majorHAnsi"/>
              </w:rPr>
              <w:t>[</w:t>
            </w:r>
            <w:r w:rsidR="00D152BD" w:rsidRPr="00D152BD">
              <w:rPr>
                <w:rFonts w:asciiTheme="majorHAnsi" w:hAnsiTheme="majorHAnsi" w:cstheme="majorHAnsi"/>
              </w:rPr>
              <w:t>biće naknadno utvrđeno</w:t>
            </w:r>
            <w:r w:rsidRPr="00386B69">
              <w:rPr>
                <w:rFonts w:asciiTheme="majorHAnsi" w:hAnsiTheme="majorHAnsi" w:cstheme="majorHAnsi"/>
              </w:rPr>
              <w:t>]</w:t>
            </w:r>
          </w:p>
        </w:tc>
      </w:tr>
      <w:tr w:rsidR="00386B69" w:rsidRPr="00386B69" w14:paraId="4A8827F9" w14:textId="77777777">
        <w:trPr>
          <w:cantSplit/>
          <w:jc w:val="center"/>
        </w:trPr>
        <w:tc>
          <w:tcPr>
            <w:tcW w:w="5328" w:type="dxa"/>
            <w:tcMar>
              <w:top w:w="60" w:type="dxa"/>
              <w:left w:w="60" w:type="dxa"/>
              <w:bottom w:w="60" w:type="dxa"/>
              <w:right w:w="60" w:type="dxa"/>
            </w:tcMar>
          </w:tcPr>
          <w:p w14:paraId="312F71B2" w14:textId="24BA0CEA" w:rsidR="007E15DB" w:rsidRPr="004F7BD6" w:rsidRDefault="00A37848" w:rsidP="00AC0E2C">
            <w:pPr>
              <w:rPr>
                <w:rFonts w:asciiTheme="majorHAnsi" w:hAnsiTheme="majorHAnsi" w:cstheme="majorHAnsi"/>
                <w:sz w:val="22"/>
                <w:lang w:val="it-IT"/>
              </w:rPr>
            </w:pPr>
            <w:r w:rsidRPr="004F7BD6">
              <w:rPr>
                <w:rFonts w:asciiTheme="majorHAnsi" w:hAnsiTheme="majorHAnsi" w:cstheme="majorHAnsi"/>
                <w:lang w:val="it-IT"/>
              </w:rPr>
              <w:t>Opis pritužbe, pitanja ili povratne informacije</w:t>
            </w:r>
          </w:p>
        </w:tc>
        <w:tc>
          <w:tcPr>
            <w:tcW w:w="5328" w:type="dxa"/>
            <w:tcMar>
              <w:top w:w="60" w:type="dxa"/>
              <w:left w:w="60" w:type="dxa"/>
              <w:bottom w:w="60" w:type="dxa"/>
              <w:right w:w="60" w:type="dxa"/>
            </w:tcMar>
          </w:tcPr>
          <w:p w14:paraId="042996BB" w14:textId="6A4A44F6" w:rsidR="007E15DB" w:rsidRPr="00386B69" w:rsidRDefault="00811B0E" w:rsidP="00AC0E2C">
            <w:pPr>
              <w:rPr>
                <w:rFonts w:asciiTheme="majorHAnsi" w:hAnsiTheme="majorHAnsi" w:cstheme="majorHAnsi"/>
                <w:sz w:val="22"/>
              </w:rPr>
            </w:pPr>
            <w:r w:rsidRPr="00386B69">
              <w:rPr>
                <w:rFonts w:asciiTheme="majorHAnsi" w:hAnsiTheme="majorHAnsi" w:cstheme="majorHAnsi"/>
              </w:rPr>
              <w:t>[</w:t>
            </w:r>
            <w:r w:rsidR="00D152BD" w:rsidRPr="00D152BD">
              <w:rPr>
                <w:rFonts w:asciiTheme="majorHAnsi" w:hAnsiTheme="majorHAnsi" w:cstheme="majorHAnsi"/>
              </w:rPr>
              <w:t>biće naknadno utvrđeno</w:t>
            </w:r>
            <w:r w:rsidRPr="00386B69">
              <w:rPr>
                <w:rFonts w:asciiTheme="majorHAnsi" w:hAnsiTheme="majorHAnsi" w:cstheme="majorHAnsi"/>
              </w:rPr>
              <w:t>]</w:t>
            </w:r>
          </w:p>
        </w:tc>
      </w:tr>
      <w:tr w:rsidR="00386B69" w:rsidRPr="00386B69" w14:paraId="2642CEE2" w14:textId="77777777">
        <w:trPr>
          <w:cantSplit/>
          <w:jc w:val="center"/>
        </w:trPr>
        <w:tc>
          <w:tcPr>
            <w:tcW w:w="5328" w:type="dxa"/>
            <w:tcMar>
              <w:top w:w="60" w:type="dxa"/>
              <w:left w:w="60" w:type="dxa"/>
              <w:bottom w:w="60" w:type="dxa"/>
              <w:right w:w="60" w:type="dxa"/>
            </w:tcMar>
          </w:tcPr>
          <w:p w14:paraId="64726375" w14:textId="1A1F753B" w:rsidR="007E15DB" w:rsidRPr="00386B69" w:rsidRDefault="00A37848" w:rsidP="00AC0E2C">
            <w:pPr>
              <w:rPr>
                <w:rFonts w:asciiTheme="majorHAnsi" w:hAnsiTheme="majorHAnsi" w:cstheme="majorHAnsi"/>
                <w:sz w:val="22"/>
              </w:rPr>
            </w:pPr>
            <w:r w:rsidRPr="00A37848">
              <w:rPr>
                <w:rFonts w:asciiTheme="majorHAnsi" w:hAnsiTheme="majorHAnsi" w:cstheme="majorHAnsi"/>
              </w:rPr>
              <w:t>Lokacija/usluga/aktivnost na koju se odnosi</w:t>
            </w:r>
          </w:p>
        </w:tc>
        <w:tc>
          <w:tcPr>
            <w:tcW w:w="5328" w:type="dxa"/>
            <w:tcMar>
              <w:top w:w="60" w:type="dxa"/>
              <w:left w:w="60" w:type="dxa"/>
              <w:bottom w:w="60" w:type="dxa"/>
              <w:right w:w="60" w:type="dxa"/>
            </w:tcMar>
          </w:tcPr>
          <w:p w14:paraId="135E5DD7" w14:textId="4ED68C7E" w:rsidR="007E15DB" w:rsidRPr="00386B69" w:rsidRDefault="00811B0E" w:rsidP="00AC0E2C">
            <w:pPr>
              <w:rPr>
                <w:rFonts w:asciiTheme="majorHAnsi" w:hAnsiTheme="majorHAnsi" w:cstheme="majorHAnsi"/>
                <w:sz w:val="22"/>
              </w:rPr>
            </w:pPr>
            <w:r w:rsidRPr="00386B69">
              <w:rPr>
                <w:rFonts w:asciiTheme="majorHAnsi" w:hAnsiTheme="majorHAnsi" w:cstheme="majorHAnsi"/>
              </w:rPr>
              <w:t>[</w:t>
            </w:r>
            <w:r w:rsidR="00D152BD" w:rsidRPr="00D152BD">
              <w:rPr>
                <w:rFonts w:asciiTheme="majorHAnsi" w:hAnsiTheme="majorHAnsi" w:cstheme="majorHAnsi"/>
              </w:rPr>
              <w:t>biće naknadno utvrđeno</w:t>
            </w:r>
            <w:r w:rsidRPr="00386B69">
              <w:rPr>
                <w:rFonts w:asciiTheme="majorHAnsi" w:hAnsiTheme="majorHAnsi" w:cstheme="majorHAnsi"/>
              </w:rPr>
              <w:t>]</w:t>
            </w:r>
          </w:p>
        </w:tc>
      </w:tr>
      <w:tr w:rsidR="00386B69" w:rsidRPr="00386B69" w14:paraId="0B0021AF" w14:textId="77777777">
        <w:trPr>
          <w:cantSplit/>
          <w:jc w:val="center"/>
        </w:trPr>
        <w:tc>
          <w:tcPr>
            <w:tcW w:w="5328" w:type="dxa"/>
            <w:tcMar>
              <w:top w:w="60" w:type="dxa"/>
              <w:left w:w="60" w:type="dxa"/>
              <w:bottom w:w="60" w:type="dxa"/>
              <w:right w:w="60" w:type="dxa"/>
            </w:tcMar>
          </w:tcPr>
          <w:p w14:paraId="6C077C68" w14:textId="738A1ECE" w:rsidR="007E15DB" w:rsidRPr="00386B69" w:rsidRDefault="00A37848" w:rsidP="00AC0E2C">
            <w:pPr>
              <w:rPr>
                <w:rFonts w:asciiTheme="majorHAnsi" w:hAnsiTheme="majorHAnsi" w:cstheme="majorHAnsi"/>
                <w:sz w:val="22"/>
              </w:rPr>
            </w:pPr>
            <w:r w:rsidRPr="00A37848">
              <w:rPr>
                <w:rFonts w:asciiTheme="majorHAnsi" w:hAnsiTheme="majorHAnsi" w:cstheme="majorHAnsi"/>
              </w:rPr>
              <w:t>Prateća dokumentacija, ako postoji</w:t>
            </w:r>
          </w:p>
        </w:tc>
        <w:tc>
          <w:tcPr>
            <w:tcW w:w="5328" w:type="dxa"/>
            <w:tcMar>
              <w:top w:w="60" w:type="dxa"/>
              <w:left w:w="60" w:type="dxa"/>
              <w:bottom w:w="60" w:type="dxa"/>
              <w:right w:w="60" w:type="dxa"/>
            </w:tcMar>
          </w:tcPr>
          <w:p w14:paraId="763C867B" w14:textId="2A495DDC" w:rsidR="007E15DB" w:rsidRPr="00386B69" w:rsidRDefault="00811B0E" w:rsidP="00AC0E2C">
            <w:pPr>
              <w:rPr>
                <w:rFonts w:asciiTheme="majorHAnsi" w:hAnsiTheme="majorHAnsi" w:cstheme="majorHAnsi"/>
                <w:sz w:val="22"/>
              </w:rPr>
            </w:pPr>
            <w:r w:rsidRPr="00386B69">
              <w:rPr>
                <w:rFonts w:asciiTheme="majorHAnsi" w:hAnsiTheme="majorHAnsi" w:cstheme="majorHAnsi"/>
              </w:rPr>
              <w:t>[</w:t>
            </w:r>
            <w:r w:rsidR="00D152BD" w:rsidRPr="00D152BD">
              <w:rPr>
                <w:rFonts w:asciiTheme="majorHAnsi" w:hAnsiTheme="majorHAnsi" w:cstheme="majorHAnsi"/>
              </w:rPr>
              <w:t>biće naknadno utvrđeno</w:t>
            </w:r>
            <w:r w:rsidRPr="00386B69">
              <w:rPr>
                <w:rFonts w:asciiTheme="majorHAnsi" w:hAnsiTheme="majorHAnsi" w:cstheme="majorHAnsi"/>
              </w:rPr>
              <w:t>]</w:t>
            </w:r>
          </w:p>
        </w:tc>
      </w:tr>
      <w:tr w:rsidR="00386B69" w:rsidRPr="00386B69" w14:paraId="58329AE6" w14:textId="77777777">
        <w:trPr>
          <w:cantSplit/>
          <w:jc w:val="center"/>
        </w:trPr>
        <w:tc>
          <w:tcPr>
            <w:tcW w:w="5328" w:type="dxa"/>
            <w:tcMar>
              <w:top w:w="60" w:type="dxa"/>
              <w:left w:w="60" w:type="dxa"/>
              <w:bottom w:w="60" w:type="dxa"/>
              <w:right w:w="60" w:type="dxa"/>
            </w:tcMar>
          </w:tcPr>
          <w:p w14:paraId="1F18F9F0" w14:textId="487F510D" w:rsidR="007E15DB" w:rsidRPr="00386B69" w:rsidRDefault="008365A5" w:rsidP="00AC0E2C">
            <w:pPr>
              <w:rPr>
                <w:rFonts w:asciiTheme="majorHAnsi" w:hAnsiTheme="majorHAnsi" w:cstheme="majorHAnsi"/>
                <w:sz w:val="22"/>
              </w:rPr>
            </w:pPr>
            <w:r w:rsidRPr="008365A5">
              <w:rPr>
                <w:rFonts w:asciiTheme="majorHAnsi" w:hAnsiTheme="majorHAnsi" w:cstheme="majorHAnsi"/>
              </w:rPr>
              <w:t>Željeno rešenje, ako postoji</w:t>
            </w:r>
          </w:p>
        </w:tc>
        <w:tc>
          <w:tcPr>
            <w:tcW w:w="5328" w:type="dxa"/>
            <w:tcMar>
              <w:top w:w="60" w:type="dxa"/>
              <w:left w:w="60" w:type="dxa"/>
              <w:bottom w:w="60" w:type="dxa"/>
              <w:right w:w="60" w:type="dxa"/>
            </w:tcMar>
          </w:tcPr>
          <w:p w14:paraId="1C392AFB" w14:textId="1000ECE6" w:rsidR="007E15DB" w:rsidRPr="00386B69" w:rsidRDefault="00811B0E" w:rsidP="00AC0E2C">
            <w:pPr>
              <w:rPr>
                <w:rFonts w:asciiTheme="majorHAnsi" w:hAnsiTheme="majorHAnsi" w:cstheme="majorHAnsi"/>
                <w:sz w:val="22"/>
              </w:rPr>
            </w:pPr>
            <w:r w:rsidRPr="00386B69">
              <w:rPr>
                <w:rFonts w:asciiTheme="majorHAnsi" w:hAnsiTheme="majorHAnsi" w:cstheme="majorHAnsi"/>
              </w:rPr>
              <w:t>[</w:t>
            </w:r>
            <w:r w:rsidR="00D152BD" w:rsidRPr="00D152BD">
              <w:rPr>
                <w:rFonts w:asciiTheme="majorHAnsi" w:hAnsiTheme="majorHAnsi" w:cstheme="majorHAnsi"/>
              </w:rPr>
              <w:t>biće naknadno utvrđeno</w:t>
            </w:r>
            <w:r w:rsidRPr="00386B69">
              <w:rPr>
                <w:rFonts w:asciiTheme="majorHAnsi" w:hAnsiTheme="majorHAnsi" w:cstheme="majorHAnsi"/>
              </w:rPr>
              <w:t>]</w:t>
            </w:r>
          </w:p>
        </w:tc>
      </w:tr>
      <w:tr w:rsidR="00386B69" w:rsidRPr="00386B69" w14:paraId="49D39734" w14:textId="77777777">
        <w:trPr>
          <w:cantSplit/>
          <w:jc w:val="center"/>
        </w:trPr>
        <w:tc>
          <w:tcPr>
            <w:tcW w:w="5328" w:type="dxa"/>
            <w:tcMar>
              <w:top w:w="60" w:type="dxa"/>
              <w:left w:w="60" w:type="dxa"/>
              <w:bottom w:w="60" w:type="dxa"/>
              <w:right w:w="60" w:type="dxa"/>
            </w:tcMar>
          </w:tcPr>
          <w:p w14:paraId="286D60D8" w14:textId="70D595D8" w:rsidR="007E15DB" w:rsidRPr="00386B69" w:rsidRDefault="008365A5" w:rsidP="00AC0E2C">
            <w:pPr>
              <w:rPr>
                <w:rFonts w:asciiTheme="majorHAnsi" w:hAnsiTheme="majorHAnsi" w:cstheme="majorHAnsi"/>
                <w:sz w:val="22"/>
              </w:rPr>
            </w:pPr>
            <w:r w:rsidRPr="008365A5">
              <w:rPr>
                <w:rFonts w:asciiTheme="majorHAnsi" w:hAnsiTheme="majorHAnsi" w:cstheme="majorHAnsi"/>
              </w:rPr>
              <w:t>Saglasnost za kontaktiranje</w:t>
            </w:r>
          </w:p>
        </w:tc>
        <w:tc>
          <w:tcPr>
            <w:tcW w:w="5328" w:type="dxa"/>
            <w:tcMar>
              <w:top w:w="60" w:type="dxa"/>
              <w:left w:w="60" w:type="dxa"/>
              <w:bottom w:w="60" w:type="dxa"/>
              <w:right w:w="60" w:type="dxa"/>
            </w:tcMar>
          </w:tcPr>
          <w:p w14:paraId="0728F88B" w14:textId="3993C60A" w:rsidR="007E15DB" w:rsidRPr="00386B69" w:rsidRDefault="00D152BD" w:rsidP="00AC0E2C">
            <w:pPr>
              <w:rPr>
                <w:rFonts w:asciiTheme="majorHAnsi" w:hAnsiTheme="majorHAnsi" w:cstheme="majorHAnsi"/>
                <w:sz w:val="22"/>
              </w:rPr>
            </w:pPr>
            <w:r>
              <w:rPr>
                <w:rFonts w:asciiTheme="majorHAnsi" w:hAnsiTheme="majorHAnsi" w:cstheme="majorHAnsi"/>
              </w:rPr>
              <w:t>Da / Ne</w:t>
            </w:r>
          </w:p>
        </w:tc>
      </w:tr>
    </w:tbl>
    <w:p w14:paraId="555C9442" w14:textId="77777777" w:rsidR="007E15DB" w:rsidRPr="00386B69" w:rsidRDefault="007E15DB" w:rsidP="0030676C">
      <w:pPr>
        <w:ind w:right="576"/>
        <w:rPr>
          <w:rFonts w:asciiTheme="majorHAnsi" w:hAnsiTheme="majorHAnsi" w:cstheme="majorHAnsi"/>
          <w:sz w:val="22"/>
        </w:rPr>
      </w:pPr>
    </w:p>
    <w:p w14:paraId="5BB0972B" w14:textId="335BFFBD" w:rsidR="007E15DB" w:rsidRPr="00386B69" w:rsidRDefault="008365A5" w:rsidP="00AC0E2C">
      <w:pPr>
        <w:pStyle w:val="Heading2"/>
        <w:spacing w:before="60" w:after="120"/>
        <w:ind w:left="720" w:right="576"/>
        <w:rPr>
          <w:rFonts w:cstheme="majorHAnsi"/>
          <w:color w:val="auto"/>
          <w:sz w:val="22"/>
          <w:szCs w:val="22"/>
        </w:rPr>
      </w:pPr>
      <w:r>
        <w:rPr>
          <w:rFonts w:eastAsia="Arial" w:cstheme="majorHAnsi"/>
          <w:color w:val="auto"/>
          <w:sz w:val="22"/>
          <w:szCs w:val="22"/>
        </w:rPr>
        <w:t>Aneks</w:t>
      </w:r>
      <w:r w:rsidR="00811B0E" w:rsidRPr="00386B69">
        <w:rPr>
          <w:rFonts w:eastAsia="Arial" w:cstheme="majorHAnsi"/>
          <w:color w:val="auto"/>
          <w:sz w:val="22"/>
          <w:szCs w:val="22"/>
        </w:rPr>
        <w:t xml:space="preserve"> </w:t>
      </w:r>
      <w:r w:rsidR="00611C08">
        <w:rPr>
          <w:rFonts w:eastAsia="Arial" w:cstheme="majorHAnsi"/>
          <w:color w:val="auto"/>
          <w:sz w:val="22"/>
          <w:szCs w:val="22"/>
        </w:rPr>
        <w:t>3</w:t>
      </w:r>
      <w:r>
        <w:rPr>
          <w:rFonts w:eastAsia="Arial" w:cstheme="majorHAnsi"/>
          <w:color w:val="auto"/>
          <w:sz w:val="22"/>
          <w:szCs w:val="22"/>
        </w:rPr>
        <w:t>: Šablon registra pritužbi</w:t>
      </w:r>
    </w:p>
    <w:tbl>
      <w:tblPr>
        <w:tblStyle w:val="TableGrid"/>
        <w:tblW w:w="5000" w:type="pct"/>
        <w:jc w:val="center"/>
        <w:tblLook w:val="04A0" w:firstRow="1" w:lastRow="0" w:firstColumn="1" w:lastColumn="0" w:noHBand="0" w:noVBand="1"/>
      </w:tblPr>
      <w:tblGrid>
        <w:gridCol w:w="1065"/>
        <w:gridCol w:w="1064"/>
        <w:gridCol w:w="1064"/>
        <w:gridCol w:w="1065"/>
        <w:gridCol w:w="1064"/>
        <w:gridCol w:w="1064"/>
        <w:gridCol w:w="1064"/>
        <w:gridCol w:w="1065"/>
        <w:gridCol w:w="1065"/>
        <w:gridCol w:w="1066"/>
      </w:tblGrid>
      <w:tr w:rsidR="00386B69" w:rsidRPr="00386B69" w14:paraId="3D7FD0FB" w14:textId="77777777">
        <w:trPr>
          <w:cantSplit/>
          <w:tblHeader/>
          <w:jc w:val="center"/>
        </w:trPr>
        <w:tc>
          <w:tcPr>
            <w:tcW w:w="1066" w:type="dxa"/>
            <w:shd w:val="clear" w:color="auto" w:fill="D9EAF7"/>
            <w:tcMar>
              <w:top w:w="60" w:type="dxa"/>
              <w:left w:w="60" w:type="dxa"/>
              <w:bottom w:w="60" w:type="dxa"/>
              <w:right w:w="60" w:type="dxa"/>
            </w:tcMar>
          </w:tcPr>
          <w:p w14:paraId="20A43BBE" w14:textId="13FDF460" w:rsidR="007E15DB" w:rsidRPr="004962FD" w:rsidRDefault="00035217" w:rsidP="00AC0E2C">
            <w:pPr>
              <w:rPr>
                <w:rFonts w:asciiTheme="majorHAnsi" w:hAnsiTheme="majorHAnsi" w:cstheme="majorHAnsi"/>
                <w:szCs w:val="20"/>
              </w:rPr>
            </w:pPr>
            <w:r>
              <w:rPr>
                <w:rFonts w:asciiTheme="majorHAnsi" w:hAnsiTheme="majorHAnsi" w:cstheme="majorHAnsi"/>
                <w:b/>
                <w:szCs w:val="20"/>
              </w:rPr>
              <w:t>Referentni broj</w:t>
            </w:r>
          </w:p>
        </w:tc>
        <w:tc>
          <w:tcPr>
            <w:tcW w:w="1066" w:type="dxa"/>
            <w:shd w:val="clear" w:color="auto" w:fill="D9EAF7"/>
            <w:tcMar>
              <w:top w:w="60" w:type="dxa"/>
              <w:left w:w="60" w:type="dxa"/>
              <w:bottom w:w="60" w:type="dxa"/>
              <w:right w:w="60" w:type="dxa"/>
            </w:tcMar>
          </w:tcPr>
          <w:p w14:paraId="5794A9CF" w14:textId="79031733" w:rsidR="007E15DB" w:rsidRPr="004962FD" w:rsidRDefault="00035217" w:rsidP="00AC0E2C">
            <w:pPr>
              <w:rPr>
                <w:rFonts w:asciiTheme="majorHAnsi" w:hAnsiTheme="majorHAnsi" w:cstheme="majorHAnsi"/>
                <w:szCs w:val="20"/>
              </w:rPr>
            </w:pPr>
            <w:r>
              <w:rPr>
                <w:rFonts w:asciiTheme="majorHAnsi" w:hAnsiTheme="majorHAnsi" w:cstheme="majorHAnsi"/>
                <w:b/>
                <w:szCs w:val="20"/>
              </w:rPr>
              <w:t>Datum prijema</w:t>
            </w:r>
          </w:p>
        </w:tc>
        <w:tc>
          <w:tcPr>
            <w:tcW w:w="1066" w:type="dxa"/>
            <w:shd w:val="clear" w:color="auto" w:fill="D9EAF7"/>
            <w:tcMar>
              <w:top w:w="60" w:type="dxa"/>
              <w:left w:w="60" w:type="dxa"/>
              <w:bottom w:w="60" w:type="dxa"/>
              <w:right w:w="60" w:type="dxa"/>
            </w:tcMar>
          </w:tcPr>
          <w:p w14:paraId="7D435678" w14:textId="607A2F12" w:rsidR="007E15DB" w:rsidRPr="004962FD" w:rsidRDefault="00035217" w:rsidP="00AC0E2C">
            <w:pPr>
              <w:rPr>
                <w:rFonts w:asciiTheme="majorHAnsi" w:hAnsiTheme="majorHAnsi" w:cstheme="majorHAnsi"/>
                <w:szCs w:val="20"/>
              </w:rPr>
            </w:pPr>
            <w:r>
              <w:rPr>
                <w:rFonts w:asciiTheme="majorHAnsi" w:hAnsiTheme="majorHAnsi" w:cstheme="majorHAnsi"/>
                <w:b/>
                <w:szCs w:val="20"/>
              </w:rPr>
              <w:t>Kanal</w:t>
            </w:r>
          </w:p>
        </w:tc>
        <w:tc>
          <w:tcPr>
            <w:tcW w:w="1066" w:type="dxa"/>
            <w:shd w:val="clear" w:color="auto" w:fill="D9EAF7"/>
            <w:tcMar>
              <w:top w:w="60" w:type="dxa"/>
              <w:left w:w="60" w:type="dxa"/>
              <w:bottom w:w="60" w:type="dxa"/>
              <w:right w:w="60" w:type="dxa"/>
            </w:tcMar>
          </w:tcPr>
          <w:p w14:paraId="1B59257E" w14:textId="293665B7" w:rsidR="007E15DB" w:rsidRPr="004962FD" w:rsidRDefault="00035217" w:rsidP="00AC0E2C">
            <w:pPr>
              <w:rPr>
                <w:rFonts w:asciiTheme="majorHAnsi" w:hAnsiTheme="majorHAnsi" w:cstheme="majorHAnsi"/>
                <w:szCs w:val="20"/>
              </w:rPr>
            </w:pPr>
            <w:r>
              <w:rPr>
                <w:rFonts w:asciiTheme="majorHAnsi" w:hAnsiTheme="majorHAnsi" w:cstheme="majorHAnsi"/>
                <w:b/>
                <w:szCs w:val="20"/>
              </w:rPr>
              <w:t>Kategorija</w:t>
            </w:r>
          </w:p>
        </w:tc>
        <w:tc>
          <w:tcPr>
            <w:tcW w:w="1066" w:type="dxa"/>
            <w:shd w:val="clear" w:color="auto" w:fill="D9EAF7"/>
            <w:tcMar>
              <w:top w:w="60" w:type="dxa"/>
              <w:left w:w="60" w:type="dxa"/>
              <w:bottom w:w="60" w:type="dxa"/>
              <w:right w:w="60" w:type="dxa"/>
            </w:tcMar>
          </w:tcPr>
          <w:p w14:paraId="46001BD4" w14:textId="389DA3ED" w:rsidR="007E15DB" w:rsidRPr="004962FD" w:rsidRDefault="00035217" w:rsidP="00AC0E2C">
            <w:pPr>
              <w:rPr>
                <w:rFonts w:asciiTheme="majorHAnsi" w:hAnsiTheme="majorHAnsi" w:cstheme="majorHAnsi"/>
                <w:szCs w:val="20"/>
              </w:rPr>
            </w:pPr>
            <w:r>
              <w:rPr>
                <w:rFonts w:asciiTheme="majorHAnsi" w:hAnsiTheme="majorHAnsi" w:cstheme="majorHAnsi"/>
                <w:b/>
                <w:szCs w:val="20"/>
              </w:rPr>
              <w:t>Opis</w:t>
            </w:r>
          </w:p>
        </w:tc>
        <w:tc>
          <w:tcPr>
            <w:tcW w:w="1066" w:type="dxa"/>
            <w:shd w:val="clear" w:color="auto" w:fill="D9EAF7"/>
            <w:tcMar>
              <w:top w:w="60" w:type="dxa"/>
              <w:left w:w="60" w:type="dxa"/>
              <w:bottom w:w="60" w:type="dxa"/>
              <w:right w:w="60" w:type="dxa"/>
            </w:tcMar>
          </w:tcPr>
          <w:p w14:paraId="0D3871AE" w14:textId="46FFD629" w:rsidR="007E15DB" w:rsidRPr="004962FD" w:rsidRDefault="00035217" w:rsidP="00AC0E2C">
            <w:pPr>
              <w:rPr>
                <w:rFonts w:asciiTheme="majorHAnsi" w:hAnsiTheme="majorHAnsi" w:cstheme="majorHAnsi"/>
                <w:szCs w:val="20"/>
              </w:rPr>
            </w:pPr>
            <w:r>
              <w:rPr>
                <w:rFonts w:asciiTheme="majorHAnsi" w:hAnsiTheme="majorHAnsi" w:cstheme="majorHAnsi"/>
                <w:b/>
                <w:szCs w:val="20"/>
              </w:rPr>
              <w:t>Nadležno telo</w:t>
            </w:r>
          </w:p>
        </w:tc>
        <w:tc>
          <w:tcPr>
            <w:tcW w:w="1066" w:type="dxa"/>
            <w:shd w:val="clear" w:color="auto" w:fill="D9EAF7"/>
            <w:tcMar>
              <w:top w:w="60" w:type="dxa"/>
              <w:left w:w="60" w:type="dxa"/>
              <w:bottom w:w="60" w:type="dxa"/>
              <w:right w:w="60" w:type="dxa"/>
            </w:tcMar>
          </w:tcPr>
          <w:p w14:paraId="496DD5A2" w14:textId="77777777" w:rsidR="007E15DB" w:rsidRPr="004962FD" w:rsidRDefault="00811B0E" w:rsidP="00AC0E2C">
            <w:pPr>
              <w:rPr>
                <w:rFonts w:asciiTheme="majorHAnsi" w:hAnsiTheme="majorHAnsi" w:cstheme="majorHAnsi"/>
                <w:szCs w:val="20"/>
              </w:rPr>
            </w:pPr>
            <w:r w:rsidRPr="004962FD">
              <w:rPr>
                <w:rFonts w:asciiTheme="majorHAnsi" w:hAnsiTheme="majorHAnsi" w:cstheme="majorHAnsi"/>
                <w:b/>
                <w:szCs w:val="20"/>
              </w:rPr>
              <w:t>Status</w:t>
            </w:r>
          </w:p>
        </w:tc>
        <w:tc>
          <w:tcPr>
            <w:tcW w:w="1066" w:type="dxa"/>
            <w:shd w:val="clear" w:color="auto" w:fill="D9EAF7"/>
            <w:tcMar>
              <w:top w:w="60" w:type="dxa"/>
              <w:left w:w="60" w:type="dxa"/>
              <w:bottom w:w="60" w:type="dxa"/>
              <w:right w:w="60" w:type="dxa"/>
            </w:tcMar>
          </w:tcPr>
          <w:p w14:paraId="15A99540" w14:textId="5ABF0831" w:rsidR="007E15DB" w:rsidRPr="004962FD" w:rsidRDefault="00035217" w:rsidP="00AC0E2C">
            <w:pPr>
              <w:rPr>
                <w:rFonts w:asciiTheme="majorHAnsi" w:hAnsiTheme="majorHAnsi" w:cstheme="majorHAnsi"/>
                <w:szCs w:val="20"/>
              </w:rPr>
            </w:pPr>
            <w:r>
              <w:rPr>
                <w:rFonts w:asciiTheme="majorHAnsi" w:hAnsiTheme="majorHAnsi" w:cstheme="majorHAnsi"/>
                <w:b/>
                <w:szCs w:val="20"/>
              </w:rPr>
              <w:t>Preduzeta mera</w:t>
            </w:r>
          </w:p>
        </w:tc>
        <w:tc>
          <w:tcPr>
            <w:tcW w:w="1066" w:type="dxa"/>
            <w:shd w:val="clear" w:color="auto" w:fill="D9EAF7"/>
            <w:tcMar>
              <w:top w:w="60" w:type="dxa"/>
              <w:left w:w="60" w:type="dxa"/>
              <w:bottom w:w="60" w:type="dxa"/>
              <w:right w:w="60" w:type="dxa"/>
            </w:tcMar>
          </w:tcPr>
          <w:p w14:paraId="25CF7338" w14:textId="540C86B9" w:rsidR="007E15DB" w:rsidRPr="004962FD" w:rsidRDefault="00035217" w:rsidP="00AC0E2C">
            <w:pPr>
              <w:rPr>
                <w:rFonts w:asciiTheme="majorHAnsi" w:hAnsiTheme="majorHAnsi" w:cstheme="majorHAnsi"/>
                <w:szCs w:val="20"/>
              </w:rPr>
            </w:pPr>
            <w:r>
              <w:rPr>
                <w:rFonts w:asciiTheme="majorHAnsi" w:hAnsiTheme="majorHAnsi" w:cstheme="majorHAnsi"/>
                <w:b/>
                <w:szCs w:val="20"/>
              </w:rPr>
              <w:t>Datum zatvaranja</w:t>
            </w:r>
          </w:p>
        </w:tc>
        <w:tc>
          <w:tcPr>
            <w:tcW w:w="1066" w:type="dxa"/>
            <w:shd w:val="clear" w:color="auto" w:fill="D9EAF7"/>
            <w:tcMar>
              <w:top w:w="60" w:type="dxa"/>
              <w:left w:w="60" w:type="dxa"/>
              <w:bottom w:w="60" w:type="dxa"/>
              <w:right w:w="60" w:type="dxa"/>
            </w:tcMar>
          </w:tcPr>
          <w:p w14:paraId="22840350" w14:textId="72A12B12" w:rsidR="007E15DB" w:rsidRPr="004962FD" w:rsidRDefault="00035217" w:rsidP="00AC0E2C">
            <w:pPr>
              <w:rPr>
                <w:rFonts w:asciiTheme="majorHAnsi" w:hAnsiTheme="majorHAnsi" w:cstheme="majorHAnsi"/>
                <w:szCs w:val="20"/>
              </w:rPr>
            </w:pPr>
            <w:r>
              <w:rPr>
                <w:rFonts w:asciiTheme="majorHAnsi" w:hAnsiTheme="majorHAnsi" w:cstheme="majorHAnsi"/>
                <w:b/>
                <w:szCs w:val="20"/>
              </w:rPr>
              <w:t>Napomene</w:t>
            </w:r>
          </w:p>
        </w:tc>
      </w:tr>
      <w:tr w:rsidR="00386B69" w:rsidRPr="00386B69" w14:paraId="5FD13460" w14:textId="77777777">
        <w:trPr>
          <w:cantSplit/>
          <w:jc w:val="center"/>
        </w:trPr>
        <w:tc>
          <w:tcPr>
            <w:tcW w:w="1066" w:type="dxa"/>
            <w:tcMar>
              <w:top w:w="60" w:type="dxa"/>
              <w:left w:w="60" w:type="dxa"/>
              <w:bottom w:w="60" w:type="dxa"/>
              <w:right w:w="60" w:type="dxa"/>
            </w:tcMar>
          </w:tcPr>
          <w:p w14:paraId="6B80FA82" w14:textId="04672220"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4E173873" w14:textId="4D85D0E6"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6BDD6AEB" w14:textId="6B979C25"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285B9CBA" w14:textId="208CCC08"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5D986003" w14:textId="23861232"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39A84821" w14:textId="01A7DDDF"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07E3E931" w14:textId="3F60BDD7"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4D75B00D" w14:textId="26F23633"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36EFC5DB" w14:textId="1408EFA1"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c>
          <w:tcPr>
            <w:tcW w:w="1066" w:type="dxa"/>
            <w:tcMar>
              <w:top w:w="60" w:type="dxa"/>
              <w:left w:w="60" w:type="dxa"/>
              <w:bottom w:w="60" w:type="dxa"/>
              <w:right w:w="60" w:type="dxa"/>
            </w:tcMar>
          </w:tcPr>
          <w:p w14:paraId="278621F3" w14:textId="26F086DD" w:rsidR="007E15DB" w:rsidRPr="004962FD" w:rsidRDefault="00811B0E" w:rsidP="00AC0E2C">
            <w:pPr>
              <w:rPr>
                <w:rFonts w:asciiTheme="majorHAnsi" w:hAnsiTheme="majorHAnsi" w:cstheme="majorHAnsi"/>
                <w:szCs w:val="20"/>
              </w:rPr>
            </w:pPr>
            <w:r w:rsidRPr="004962FD">
              <w:rPr>
                <w:rFonts w:asciiTheme="majorHAnsi" w:hAnsiTheme="majorHAnsi" w:cstheme="majorHAnsi"/>
                <w:szCs w:val="20"/>
              </w:rPr>
              <w:t>[</w:t>
            </w:r>
            <w:r w:rsidR="008365A5" w:rsidRPr="008365A5">
              <w:rPr>
                <w:rFonts w:asciiTheme="majorHAnsi" w:hAnsiTheme="majorHAnsi" w:cstheme="majorHAnsi"/>
                <w:szCs w:val="20"/>
              </w:rPr>
              <w:t>biće naknadno utvrđeno</w:t>
            </w:r>
            <w:r w:rsidRPr="004962FD">
              <w:rPr>
                <w:rFonts w:asciiTheme="majorHAnsi" w:hAnsiTheme="majorHAnsi" w:cstheme="majorHAnsi"/>
                <w:szCs w:val="20"/>
              </w:rPr>
              <w:t>]</w:t>
            </w:r>
          </w:p>
        </w:tc>
      </w:tr>
    </w:tbl>
    <w:p w14:paraId="77D3438D" w14:textId="77777777" w:rsidR="007E15DB" w:rsidRPr="00386B69" w:rsidRDefault="007E15DB" w:rsidP="00AC0E2C">
      <w:pPr>
        <w:ind w:left="720" w:right="576"/>
        <w:rPr>
          <w:rFonts w:asciiTheme="majorHAnsi" w:hAnsiTheme="majorHAnsi" w:cstheme="majorHAnsi"/>
          <w:sz w:val="22"/>
        </w:rPr>
      </w:pPr>
    </w:p>
    <w:p w14:paraId="7ED38203" w14:textId="6C302E5B" w:rsidR="007E15DB" w:rsidRPr="00386B69" w:rsidRDefault="0015546F" w:rsidP="00AC0E2C">
      <w:pPr>
        <w:pStyle w:val="Heading2"/>
        <w:spacing w:before="60" w:after="120"/>
        <w:ind w:left="720" w:right="576"/>
        <w:rPr>
          <w:rFonts w:cstheme="majorHAnsi"/>
          <w:color w:val="auto"/>
          <w:sz w:val="22"/>
          <w:szCs w:val="22"/>
        </w:rPr>
      </w:pPr>
      <w:r>
        <w:rPr>
          <w:rFonts w:eastAsia="Arial" w:cstheme="majorHAnsi"/>
          <w:color w:val="auto"/>
          <w:sz w:val="22"/>
          <w:szCs w:val="22"/>
        </w:rPr>
        <w:t>Aneks</w:t>
      </w:r>
      <w:r w:rsidR="00811B0E" w:rsidRPr="00386B69">
        <w:rPr>
          <w:rFonts w:eastAsia="Arial" w:cstheme="majorHAnsi"/>
          <w:color w:val="auto"/>
          <w:sz w:val="22"/>
          <w:szCs w:val="22"/>
        </w:rPr>
        <w:t xml:space="preserve"> </w:t>
      </w:r>
      <w:r w:rsidR="00611C08">
        <w:rPr>
          <w:rFonts w:eastAsia="Arial" w:cstheme="majorHAnsi"/>
          <w:color w:val="auto"/>
          <w:sz w:val="22"/>
          <w:szCs w:val="22"/>
        </w:rPr>
        <w:t>4</w:t>
      </w:r>
      <w:r>
        <w:rPr>
          <w:rFonts w:eastAsia="Arial" w:cstheme="majorHAnsi"/>
          <w:color w:val="auto"/>
          <w:sz w:val="22"/>
          <w:szCs w:val="22"/>
        </w:rPr>
        <w:t xml:space="preserve">: Sažetak konsultacija </w:t>
      </w:r>
      <w:r w:rsidR="00811B0E" w:rsidRPr="00386B69">
        <w:rPr>
          <w:rFonts w:eastAsia="Arial" w:cstheme="majorHAnsi"/>
          <w:color w:val="auto"/>
          <w:sz w:val="22"/>
          <w:szCs w:val="22"/>
        </w:rPr>
        <w:t>[</w:t>
      </w:r>
      <w:r w:rsidRPr="0015546F">
        <w:rPr>
          <w:rFonts w:eastAsia="Arial" w:cstheme="majorHAnsi"/>
          <w:color w:val="auto"/>
          <w:sz w:val="22"/>
          <w:szCs w:val="22"/>
        </w:rPr>
        <w:t>biće naknadno utvrđeno</w:t>
      </w:r>
      <w:r w:rsidR="00811B0E" w:rsidRPr="00386B69">
        <w:rPr>
          <w:rFonts w:eastAsia="Arial" w:cstheme="majorHAnsi"/>
          <w:color w:val="auto"/>
          <w:sz w:val="22"/>
          <w:szCs w:val="22"/>
        </w:rPr>
        <w:t>]</w:t>
      </w:r>
    </w:p>
    <w:p w14:paraId="751B7158" w14:textId="5C9B8E12" w:rsidR="0015546F" w:rsidRPr="0015546F" w:rsidRDefault="0015546F" w:rsidP="0015546F">
      <w:pPr>
        <w:spacing w:after="120" w:line="252" w:lineRule="auto"/>
        <w:ind w:left="720" w:right="576"/>
        <w:jc w:val="both"/>
        <w:rPr>
          <w:rFonts w:asciiTheme="majorHAnsi" w:hAnsiTheme="majorHAnsi" w:cstheme="majorHAnsi"/>
          <w:sz w:val="22"/>
          <w:lang w:val="en-GB"/>
        </w:rPr>
      </w:pPr>
      <w:r w:rsidRPr="0015546F">
        <w:rPr>
          <w:rFonts w:asciiTheme="majorHAnsi" w:hAnsiTheme="majorHAnsi" w:cstheme="majorHAnsi"/>
          <w:sz w:val="22"/>
          <w:lang w:val="en-GB"/>
        </w:rPr>
        <w:t xml:space="preserve">Ovaj aneks </w:t>
      </w:r>
      <w:r>
        <w:rPr>
          <w:rFonts w:asciiTheme="majorHAnsi" w:hAnsiTheme="majorHAnsi" w:cstheme="majorHAnsi"/>
          <w:sz w:val="22"/>
          <w:lang w:val="en-GB"/>
        </w:rPr>
        <w:t>sadrži</w:t>
      </w:r>
      <w:r w:rsidRPr="0015546F">
        <w:rPr>
          <w:rFonts w:asciiTheme="majorHAnsi" w:hAnsiTheme="majorHAnsi" w:cstheme="majorHAnsi"/>
          <w:sz w:val="22"/>
          <w:lang w:val="en-GB"/>
        </w:rPr>
        <w:t xml:space="preserve"> sažetak konsultacija sprovedenih tokom pripreme i implementacije projekta, uključujući datume, konsultovane zainteresovane strane, teme o kojima se diskutovalo, dobijene povratne informacije i način na koji su te povratne informacije ugrađene u dizajn ili sprovođenje projekta.</w:t>
      </w:r>
    </w:p>
    <w:p w14:paraId="27516568" w14:textId="15826213" w:rsidR="007E15DB" w:rsidRPr="0015546F" w:rsidRDefault="0015546F" w:rsidP="0015546F">
      <w:pPr>
        <w:spacing w:after="120" w:line="252" w:lineRule="auto"/>
        <w:ind w:left="720" w:right="576"/>
        <w:jc w:val="both"/>
        <w:rPr>
          <w:rFonts w:asciiTheme="majorHAnsi" w:hAnsiTheme="majorHAnsi" w:cstheme="majorHAnsi"/>
          <w:sz w:val="22"/>
          <w:lang w:val="en-GB"/>
        </w:rPr>
      </w:pPr>
      <w:r>
        <w:rPr>
          <w:rFonts w:asciiTheme="majorHAnsi" w:hAnsiTheme="majorHAnsi" w:cstheme="majorHAnsi"/>
          <w:sz w:val="22"/>
          <w:lang w:val="en-GB"/>
        </w:rPr>
        <w:lastRenderedPageBreak/>
        <w:t>[</w:t>
      </w:r>
      <w:r w:rsidRPr="0015546F">
        <w:rPr>
          <w:rFonts w:asciiTheme="majorHAnsi" w:hAnsiTheme="majorHAnsi" w:cstheme="majorHAnsi"/>
          <w:sz w:val="22"/>
        </w:rPr>
        <w:t>biće naknadno utvrđeno</w:t>
      </w:r>
      <w:r>
        <w:rPr>
          <w:rFonts w:asciiTheme="majorHAnsi" w:hAnsiTheme="majorHAnsi" w:cstheme="majorHAnsi"/>
          <w:sz w:val="22"/>
          <w:lang w:val="en-GB"/>
        </w:rPr>
        <w:t>: Popuniti kada zapisnik o konsultacijama bude dostupan</w:t>
      </w:r>
      <w:r w:rsidRPr="0015546F">
        <w:rPr>
          <w:rFonts w:asciiTheme="majorHAnsi" w:hAnsiTheme="majorHAnsi" w:cstheme="majorHAnsi"/>
          <w:sz w:val="22"/>
          <w:lang w:val="en-GB"/>
        </w:rPr>
        <w:t xml:space="preserve"> od strane OITEG/PIU</w:t>
      </w:r>
      <w:r w:rsidRPr="0015546F">
        <w:rPr>
          <w:rFonts w:asciiTheme="majorHAnsi" w:hAnsiTheme="majorHAnsi" w:cstheme="majorHAnsi"/>
          <w:sz w:val="22"/>
        </w:rPr>
        <w:t>]</w:t>
      </w:r>
      <w:r w:rsidRPr="0015546F">
        <w:rPr>
          <w:rFonts w:asciiTheme="majorHAnsi" w:hAnsiTheme="majorHAnsi" w:cstheme="majorHAnsi"/>
          <w:sz w:val="22"/>
          <w:lang w:val="en-GB"/>
        </w:rPr>
        <w:t>.</w:t>
      </w:r>
    </w:p>
    <w:sectPr w:rsidR="007E15DB" w:rsidRPr="0015546F" w:rsidSect="00034616">
      <w:headerReference w:type="default" r:id="rId10"/>
      <w:footerReference w:type="even" r:id="rId11"/>
      <w:footerReference w:type="default" r:id="rId12"/>
      <w:footerReference w:type="first" r:id="rId13"/>
      <w:pgSz w:w="12240" w:h="15840"/>
      <w:pgMar w:top="864" w:right="792" w:bottom="864"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F4DE2" w14:textId="77777777" w:rsidR="00D26DE4" w:rsidRDefault="00D26DE4">
      <w:pPr>
        <w:spacing w:after="0" w:line="240" w:lineRule="auto"/>
      </w:pPr>
      <w:r>
        <w:separator/>
      </w:r>
    </w:p>
  </w:endnote>
  <w:endnote w:type="continuationSeparator" w:id="0">
    <w:p w14:paraId="7DCA6C18" w14:textId="77777777" w:rsidR="00D26DE4" w:rsidRDefault="00D2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490B" w14:textId="38FE5ADE" w:rsidR="00824A11" w:rsidRDefault="00824A11">
    <w:pPr>
      <w:pStyle w:val="Footer"/>
    </w:pPr>
    <w:r>
      <w:rPr>
        <w:noProof/>
      </w:rPr>
      <mc:AlternateContent>
        <mc:Choice Requires="wps">
          <w:drawing>
            <wp:anchor distT="0" distB="0" distL="0" distR="0" simplePos="0" relativeHeight="251657216" behindDoc="0" locked="0" layoutInCell="1" allowOverlap="1" wp14:anchorId="10F0D55C" wp14:editId="050E80E5">
              <wp:simplePos x="635" y="635"/>
              <wp:positionH relativeFrom="page">
                <wp:align>right</wp:align>
              </wp:positionH>
              <wp:positionV relativeFrom="page">
                <wp:align>bottom</wp:align>
              </wp:positionV>
              <wp:extent cx="1172210" cy="368935"/>
              <wp:effectExtent l="0" t="0" r="0" b="0"/>
              <wp:wrapNone/>
              <wp:docPr id="1175914794"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72A5339" w14:textId="0DC795BD" w:rsidR="00824A11" w:rsidRPr="00215BCF" w:rsidRDefault="00824A11"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F0D55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rgdwIAALgEAAAOAAAAZHJzL2Uyb0RvYy54bWysVEtv2zAMvg/YfxB0T/2o0zxQp3CSehhQ&#10;tAXaomdFlhMDsiRIau1s2H8vKTvd1u007CJTJEV+/Ej68qpvJXkV1jVa5TQ5iykRiuuqUfucPj2W&#10;kzklzjNVMamVyOlROHq1+vzpsjNLkeqDlpWwBIIot+xMTg/em2UUOX4QLXNn2ggFxlrblnm42n1U&#10;WdZB9FZGaRxfRJ22lbGaC+dAux2MdBXi17Xg/q6unfBE5hSw+XDacO7wjFaXbLm3zBwaPsJg/4Ci&#10;ZY2CpO+htswz8mKbP0K1Dbfa6dqfcd1Guq4bLkINUE0Sf6jm4cCMCLUAOc680+T+X1h++3pvSVNB&#10;75LZdJFks0VGiWIt9OpR9J6sdU9SSirhONAGZDa8YZI8OUHulDyGosHvxnksH1+Esr9Pi+ssKYt0&#10;sonLcpJls3iyWG+zybQstptiPtusr9MfSH8UXoX3UWfcMiDC/gXxwQA83wMKQIjuqHegxGx9bVv8&#10;Ao0E7NDf43tPEQnHR8ksTRMwcbCdX8wX59Mx6+m1sc5/EbolKOTUwsyEqtgrgBoAnlwwmdJlI2WY&#10;G6l+U0AlqAlVDBARrO93/Yh7p6sjlGP1MIbO8LKBnDfM+XtmYe4AJuySv4OjlrrLqR4lSg7afvub&#10;Hv1hHMBKSQdznFMFi0aJ/KpgTHDkT4INQjrN4hjUu3BLFvEUb+ql3WhYkQS21fAggtZ6eRJrq9tn&#10;WLUCs4GJKQ45c7o7iRs/bBWsKhdFEZxgxA3zN+rBcAyNZCGTj/0zs2ak20OjbvVp0tnyA+uDL750&#10;pnjxwH1oCRI7sDnyDesRRmlcZdy/X+/B6+cPZ/UGAAD//wMAUEsDBBQABgAIAAAAIQBqrgh13AAA&#10;AAQBAAAPAAAAZHJzL2Rvd25yZXYueG1sTI9RS8MwFIXfBf9DuMJexKWTGUptOraBDwMZOEVf0+ba&#10;liU3Jcm67t+b+aIvFw7ncM53y9VkDRvRh96RhMU8A4bUON1TK+Hj/eUhBxaiIq2MI5RwwQCr6vam&#10;VIV2Z3rD8RBblkooFEpCF+NQcB6aDq0KczcgJe/beatikr7l2qtzKreGP2aZ4Fb1lBY6NeC2w+Z4&#10;OFkJm/vwWb8e/WW3XzrxNW6FGfZCytndtH4GFnGKf2G44id0qBJT7U6kAzMS0iPx9169fCmA1RKe&#10;8gXwquT/4asfAAAA//8DAFBLAQItABQABgAIAAAAIQC2gziS/gAAAOEBAAATAAAAAAAAAAAAAAAA&#10;AAAAAABbQ29udGVudF9UeXBlc10ueG1sUEsBAi0AFAAGAAgAAAAhADj9If/WAAAAlAEAAAsAAAAA&#10;AAAAAAAAAAAALwEAAF9yZWxzLy5yZWxzUEsBAi0AFAAGAAgAAAAhAJdDOuB3AgAAuAQAAA4AAAAA&#10;AAAAAAAAAAAALgIAAGRycy9lMm9Eb2MueG1sUEsBAi0AFAAGAAgAAAAhAGquCHXcAAAABAEAAA8A&#10;AAAAAAAAAAAAAAAA0QQAAGRycy9kb3ducmV2LnhtbFBLBQYAAAAABAAEAPMAAADaBQAAAAA=&#10;" filled="f" stroked="f">
              <v:textbox style="mso-fit-shape-to-text:t" inset="0,0,20pt,15pt">
                <w:txbxContent>
                  <w:p w14:paraId="572A5339" w14:textId="0DC795BD" w:rsidR="00824A11" w:rsidRPr="00215BCF" w:rsidRDefault="00824A11"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E09E" w14:textId="15DB6351" w:rsidR="00824A11" w:rsidRDefault="00824A11">
    <w:pPr>
      <w:pStyle w:val="Footer"/>
      <w:jc w:val="center"/>
    </w:pPr>
    <w:r>
      <w:rPr>
        <w:noProof/>
        <w:sz w:val="18"/>
      </w:rPr>
      <mc:AlternateContent>
        <mc:Choice Requires="wps">
          <w:drawing>
            <wp:anchor distT="0" distB="0" distL="0" distR="0" simplePos="0" relativeHeight="251658240" behindDoc="0" locked="0" layoutInCell="1" allowOverlap="1" wp14:anchorId="5F4DBBF9" wp14:editId="245CC1E2">
              <wp:simplePos x="504825" y="9467850"/>
              <wp:positionH relativeFrom="page">
                <wp:align>right</wp:align>
              </wp:positionH>
              <wp:positionV relativeFrom="page">
                <wp:align>bottom</wp:align>
              </wp:positionV>
              <wp:extent cx="1172210" cy="368935"/>
              <wp:effectExtent l="0" t="0" r="0" b="0"/>
              <wp:wrapNone/>
              <wp:docPr id="265969879"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7901D5BB" w14:textId="5FC3E591" w:rsidR="00824A11" w:rsidRPr="00194692" w:rsidRDefault="00824A11" w:rsidP="00215BCF">
                          <w:pPr>
                            <w:spacing w:after="0"/>
                            <w:rPr>
                              <w:rFonts w:ascii="Aptos" w:eastAsia="Aptos" w:hAnsi="Aptos" w:cs="Aptos"/>
                              <w:noProof/>
                              <w:color w:val="000000"/>
                              <w:szCs w:val="20"/>
                              <w:lang w:val="sr-Latn-RS"/>
                            </w:rPr>
                          </w:pPr>
                          <w:r>
                            <w:rPr>
                              <w:rFonts w:ascii="Aptos" w:eastAsia="Aptos" w:hAnsi="Aptos" w:cs="Aptos"/>
                              <w:noProof/>
                              <w:color w:val="000000"/>
                              <w:szCs w:val="20"/>
                              <w:lang w:val="sr-Latn-RS"/>
                            </w:rPr>
                            <w:t>Samo za službenu upotrebu</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4DBBF9"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kEOeQIAAL4EAAAOAAAAZHJzL2Uyb0RvYy54bWysVEtv2zAMvg/YfxB0T/xo3qhTOEk9DCja&#10;Am3RsyLLjQFZEiQldjbsv5eUk2zrdhp2kSmSIj9+JH190zWSHIR1tVYZTYYxJUJxXdbqLaMvz8Vg&#10;RonzTJVMaiUyehSO3iw/f7puzUKkeqdlKSyBIMotWpPRnfdmEUWO70TD3FAbocBYadswD1f7FpWW&#10;tRC9kVEax5Oo1bY0VnPhHGg3vZEuQ/yqEtw/VJUTnsiMAjYfThvOLZ7R8pot3iwzu5qfYLB/QNGw&#10;WkHSS6gN84zsbf1HqKbmVjtd+SHXTaSrquYi1ADVJPGHap52zIhQC5DjzIUm9//C8vvDoyV1mdF0&#10;Mp5P5rPpnBLFGmjVs+g8WemOXFFSCseBNeCy5jWT5MUJ8qDkMdQMfnfOY/X4IlT9fZzfjpIiTwfr&#10;uCgGo9E0HsxXm9FgXOSbdT6brle36Q9kPwqvwvuoNW4RAGH7gvhkAJ3vAAUMF7qj3oESs3WVbfAL&#10;LBKwQ3uPl5YiEo6PkmmaJmDiYLuazOZX41PW82tjnf8idENQyKiFkQlVsQOA6gGeXTCZ0kUtZRgb&#10;qX5TQCWoCVX0EBGs77Zd4PcCf6vLI1RldT+MzvCihtR3zPlHZmH6AC1slH+Ao5K6zag+SZTstP32&#10;Nz36w1CAlZIWpjmjCtaNEvlVwbDg4J8FG4R0PIpjUG/DLZnHY7ypfbPWsCgJ7KzhQQSt9fIsVlY3&#10;r7BwOWYDE1MccmZ0exbXvt8tWFgu8jw4waAb5u/Uk+EYGjlDQp+7V2bNiXUP/brX53lniw/k9774&#10;0pl876EFoTPIb8/miXZYkjBRp4XGLfz1Hrx+/naW7wAAAP//AwBQSwMEFAAGAAgAAAAhAGquCHXc&#10;AAAABAEAAA8AAABkcnMvZG93bnJldi54bWxMj1FLwzAUhd8F/0O4wl7EpZMZSm06toEPAxk4RV/T&#10;5tqWJTclybru35v5oi8XDudwznfL1WQNG9GH3pGExTwDhtQ43VMr4eP95SEHFqIirYwjlHDBAKvq&#10;9qZUhXZnesPxEFuWSigUSkIX41BwHpoOrQpzNyAl79t5q2KSvuXaq3Mqt4Y/ZpngVvWUFjo14LbD&#10;5ng4WQmb+/BZvx79ZbdfOvE1boUZ9kLK2d20fgYWcYp/YbjiJ3SoElPtTqQDMxLSI/H3Xr18KYDV&#10;Ep7yBfCq5P/hqx8AAAD//wMAUEsBAi0AFAAGAAgAAAAhALaDOJL+AAAA4QEAABMAAAAAAAAAAAAA&#10;AAAAAAAAAFtDb250ZW50X1R5cGVzXS54bWxQSwECLQAUAAYACAAAACEAOP0h/9YAAACUAQAACwAA&#10;AAAAAAAAAAAAAAAvAQAAX3JlbHMvLnJlbHNQSwECLQAUAAYACAAAACEANuJBDnkCAAC+BAAADgAA&#10;AAAAAAAAAAAAAAAuAgAAZHJzL2Uyb0RvYy54bWxQSwECLQAUAAYACAAAACEAaq4IddwAAAAEAQAA&#10;DwAAAAAAAAAAAAAAAADTBAAAZHJzL2Rvd25yZXYueG1sUEsFBgAAAAAEAAQA8wAAANwFAAAAAA==&#10;" filled="f" stroked="f">
              <v:textbox style="mso-fit-shape-to-text:t" inset="0,0,20pt,15pt">
                <w:txbxContent>
                  <w:p w14:paraId="7901D5BB" w14:textId="5FC3E591" w:rsidR="00824A11" w:rsidRPr="00194692" w:rsidRDefault="00824A11" w:rsidP="00215BCF">
                    <w:pPr>
                      <w:spacing w:after="0"/>
                      <w:rPr>
                        <w:rFonts w:ascii="Aptos" w:eastAsia="Aptos" w:hAnsi="Aptos" w:cs="Aptos"/>
                        <w:noProof/>
                        <w:color w:val="000000"/>
                        <w:szCs w:val="20"/>
                        <w:lang w:val="sr-Latn-RS"/>
                      </w:rPr>
                    </w:pPr>
                    <w:r>
                      <w:rPr>
                        <w:rFonts w:ascii="Aptos" w:eastAsia="Aptos" w:hAnsi="Aptos" w:cs="Aptos"/>
                        <w:noProof/>
                        <w:color w:val="000000"/>
                        <w:szCs w:val="20"/>
                        <w:lang w:val="sr-Latn-RS"/>
                      </w:rPr>
                      <w:t>Samo za službenu upotrebu</w:t>
                    </w:r>
                  </w:p>
                </w:txbxContent>
              </v:textbox>
              <w10:wrap anchorx="page" anchory="page"/>
            </v:shape>
          </w:pict>
        </mc:Fallback>
      </mc:AlternateContent>
    </w:r>
    <w:r>
      <w:rPr>
        <w:sz w:val="18"/>
      </w:rPr>
      <w:fldChar w:fldCharType="begin"/>
    </w:r>
    <w:r>
      <w:rPr>
        <w:sz w:val="18"/>
      </w:rPr>
      <w:instrText>PAGE</w:instrText>
    </w:r>
    <w:r>
      <w:rPr>
        <w:sz w:val="18"/>
      </w:rPr>
      <w:fldChar w:fldCharType="separate"/>
    </w:r>
    <w:r w:rsidR="00AF1340">
      <w:rPr>
        <w:noProof/>
        <w:sz w:val="18"/>
      </w:rPr>
      <w:t>25</w:t>
    </w:r>
    <w:r>
      <w:rPr>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4B20D" w14:textId="4D8F6925" w:rsidR="00824A11" w:rsidRDefault="00824A11">
    <w:pPr>
      <w:pStyle w:val="Footer"/>
    </w:pPr>
    <w:r>
      <w:rPr>
        <w:noProof/>
      </w:rPr>
      <mc:AlternateContent>
        <mc:Choice Requires="wps">
          <w:drawing>
            <wp:anchor distT="0" distB="0" distL="0" distR="0" simplePos="0" relativeHeight="251656192" behindDoc="0" locked="0" layoutInCell="1" allowOverlap="1" wp14:anchorId="11C18C9B" wp14:editId="3C0216AA">
              <wp:simplePos x="635" y="635"/>
              <wp:positionH relativeFrom="page">
                <wp:align>right</wp:align>
              </wp:positionH>
              <wp:positionV relativeFrom="page">
                <wp:align>bottom</wp:align>
              </wp:positionV>
              <wp:extent cx="1172210" cy="368935"/>
              <wp:effectExtent l="0" t="0" r="0" b="0"/>
              <wp:wrapNone/>
              <wp:docPr id="118463735"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292E54B" w14:textId="78733FEA" w:rsidR="00824A11" w:rsidRPr="00215BCF" w:rsidRDefault="00824A11"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C18C9B"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2fegIAAL4EAAAOAAAAZHJzL2Uyb0RvYy54bWysVE1v2zAMvQ/YfxB0T/3RpEmNOoWb1MOA&#10;oi3QFjsrstwYsCVBUmtnw/77nuS427qdhl1kiqTIx0fSF5dD15JXYWyjZE6Tk5gSIbmqGvmc06fH&#10;craixDomK9YqKXJ6EJZerj9+uOh1JlK1V20lDEEQabNe53TvnM6iyPK96Jg9UVpIGGtlOuZwNc9R&#10;ZViP6F0bpXF8FvXKVNooLqyFdjsa6TrEr2vB3V1dW+FIm1Ngc+E04dz5M1pfsOzZML1v+BEG+wcU&#10;HWskkr6F2jLHyItp/gjVNdwoq2p3wlUXqbpuuAg1oJokflfNw55pEWoBOVa/0WT/X1h++3pvSFOh&#10;d8lqfna6PF1QIlmHVj2KwZErNZCEkkpYDtbAZcMb1pInK8idbA+hZvjdWOer9y9C1d8WxfU8KYt0&#10;tonLcjafL+PZ+dV2PluUxXZTrJabq+v0u2c/Cq/C+6jXNguAfPuC+KCBzg1AAYDe3estlD7bUJvO&#10;f8EigR3tPby11CPh/lGyTNMEJg7b6dnqHPWNWafX2lj3SaiOeCGnBiMTqmKvADW6Ti4+mVRl07bQ&#10;s6yVvylQideEKkaIHqwbdkPgN53g71R1QFVGjcNoNS8bpL5h1t0zg+kDWmyUu8NRt6rPqTpKlOyV&#10;+fo3vffHUMBKSY9pzqnEulHSfpYYFj/4k2CCkC7mcQz1LtyS83jhb/Kl2ygsChoOVEGE1rh2Emuj&#10;ui9YuMJng4lJjpw53U3ixo27hYXloiiCEwZdM3cjHzT3oT1nntDH4Qsz+si6Q79u1TTvLHtH/ujr&#10;X1pdvDi0IHTG8zuyeaQdSxIm6rjQfgt/vQevn7+d9Q8AAAD//wMAUEsDBBQABgAIAAAAIQBqrgh1&#10;3AAAAAQBAAAPAAAAZHJzL2Rvd25yZXYueG1sTI9RS8MwFIXfBf9DuMJexKWTGUptOraBDwMZOEVf&#10;0+baliU3Jcm67t+b+aIvFw7ncM53y9VkDRvRh96RhMU8A4bUON1TK+Hj/eUhBxaiIq2MI5RwwQCr&#10;6vamVIV2Z3rD8RBblkooFEpCF+NQcB6aDq0KczcgJe/beatikr7l2qtzKreGP2aZ4Fb1lBY6NeC2&#10;w+Z4OFkJm/vwWb8e/WW3XzrxNW6FGfZCytndtH4GFnGKf2G44id0qBJT7U6kAzMS0iPx9169fCmA&#10;1RKe8gXwquT/4asfAAAA//8DAFBLAQItABQABgAIAAAAIQC2gziS/gAAAOEBAAATAAAAAAAAAAAA&#10;AAAAAAAAAABbQ29udGVudF9UeXBlc10ueG1sUEsBAi0AFAAGAAgAAAAhADj9If/WAAAAlAEAAAsA&#10;AAAAAAAAAAAAAAAALwEAAF9yZWxzLy5yZWxzUEsBAi0AFAAGAAgAAAAhAM0jDZ96AgAAvgQAAA4A&#10;AAAAAAAAAAAAAAAALgIAAGRycy9lMm9Eb2MueG1sUEsBAi0AFAAGAAgAAAAhAGquCHXcAAAABAEA&#10;AA8AAAAAAAAAAAAAAAAA1AQAAGRycy9kb3ducmV2LnhtbFBLBQYAAAAABAAEAPMAAADdBQAAAAA=&#10;" filled="f" stroked="f">
              <v:textbox style="mso-fit-shape-to-text:t" inset="0,0,20pt,15pt">
                <w:txbxContent>
                  <w:p w14:paraId="2292E54B" w14:textId="78733FEA" w:rsidR="00824A11" w:rsidRPr="00215BCF" w:rsidRDefault="00824A11" w:rsidP="00215BCF">
                    <w:pPr>
                      <w:spacing w:after="0"/>
                      <w:rPr>
                        <w:rFonts w:ascii="Aptos" w:eastAsia="Aptos" w:hAnsi="Aptos" w:cs="Aptos"/>
                        <w:noProof/>
                        <w:color w:val="000000"/>
                        <w:szCs w:val="20"/>
                      </w:rPr>
                    </w:pPr>
                    <w:r w:rsidRPr="00215BCF">
                      <w:rPr>
                        <w:rFonts w:ascii="Aptos" w:eastAsia="Aptos" w:hAnsi="Aptos" w:cs="Aptos"/>
                        <w:noProof/>
                        <w:color w:val="00000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10585" w14:textId="77777777" w:rsidR="00D26DE4" w:rsidRDefault="00D26DE4">
      <w:pPr>
        <w:spacing w:after="0" w:line="240" w:lineRule="auto"/>
      </w:pPr>
      <w:r>
        <w:separator/>
      </w:r>
    </w:p>
  </w:footnote>
  <w:footnote w:type="continuationSeparator" w:id="0">
    <w:p w14:paraId="21BCF945" w14:textId="77777777" w:rsidR="00D26DE4" w:rsidRDefault="00D2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418778"/>
      <w:docPartObj>
        <w:docPartGallery w:val="Watermarks"/>
        <w:docPartUnique/>
      </w:docPartObj>
    </w:sdtPr>
    <w:sdtEndPr/>
    <w:sdtContent>
      <w:p w14:paraId="7A826C0D" w14:textId="3CF606AE" w:rsidR="00824A11" w:rsidRDefault="00D26DE4">
        <w:pPr>
          <w:pStyle w:val="Header"/>
        </w:pPr>
        <w:r>
          <w:rPr>
            <w:noProof/>
          </w:rPr>
          <w:pict w14:anchorId="4ACE3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5D4E60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421BF1"/>
    <w:multiLevelType w:val="multilevel"/>
    <w:tmpl w:val="2BE67F4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232D8"/>
    <w:multiLevelType w:val="multilevel"/>
    <w:tmpl w:val="858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6E2585"/>
    <w:multiLevelType w:val="multilevel"/>
    <w:tmpl w:val="238E4C8E"/>
    <w:lvl w:ilvl="0">
      <w:start w:val="1"/>
      <w:numFmt w:val="decimal"/>
      <w:lvlText w:val="%1."/>
      <w:lvlJc w:val="left"/>
      <w:pPr>
        <w:ind w:left="720" w:hanging="360"/>
      </w:p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12" w15:restartNumberingAfterBreak="0">
    <w:nsid w:val="32D6056C"/>
    <w:multiLevelType w:val="multilevel"/>
    <w:tmpl w:val="7EFE5CA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2"/>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EC4CF5"/>
    <w:multiLevelType w:val="multilevel"/>
    <w:tmpl w:val="7EFE5CA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2"/>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576145"/>
    <w:multiLevelType w:val="multilevel"/>
    <w:tmpl w:val="0BF2A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575CD7"/>
    <w:multiLevelType w:val="multilevel"/>
    <w:tmpl w:val="6D12A7E4"/>
    <w:lvl w:ilvl="0">
      <w:start w:val="1"/>
      <w:numFmt w:val="decimal"/>
      <w:lvlText w:val="%1."/>
      <w:lvlJc w:val="left"/>
      <w:pPr>
        <w:ind w:left="360" w:hanging="360"/>
      </w:pPr>
      <w:rPr>
        <w:rFonts w:hint="default"/>
      </w:rPr>
    </w:lvl>
    <w:lvl w:ilvl="1">
      <w:start w:val="1"/>
      <w:numFmt w:val="decimal"/>
      <w:lvlRestart w:val="0"/>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942419"/>
    <w:multiLevelType w:val="multilevel"/>
    <w:tmpl w:val="174AB83C"/>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4C9E7E8D"/>
    <w:multiLevelType w:val="hybridMultilevel"/>
    <w:tmpl w:val="D9B230C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15:restartNumberingAfterBreak="0">
    <w:nsid w:val="557B1449"/>
    <w:multiLevelType w:val="multilevel"/>
    <w:tmpl w:val="0E02D910"/>
    <w:lvl w:ilvl="0">
      <w:start w:val="1"/>
      <w:numFmt w:val="decimal"/>
      <w:lvlText w:val="%1."/>
      <w:lvlJc w:val="left"/>
      <w:pPr>
        <w:ind w:left="720" w:hanging="360"/>
      </w:pPr>
      <w:rPr>
        <w:rFonts w:hint="default"/>
      </w:rPr>
    </w:lvl>
    <w:lvl w:ilvl="1">
      <w:start w:val="1"/>
      <w:numFmt w:val="decimal"/>
      <w:isLgl/>
      <w:lvlText w:val="8.%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080" w:hanging="72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440" w:hanging="108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1800" w:hanging="144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15:restartNumberingAfterBreak="0">
    <w:nsid w:val="676724FD"/>
    <w:multiLevelType w:val="multilevel"/>
    <w:tmpl w:val="7C5421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A4935AE"/>
    <w:multiLevelType w:val="multilevel"/>
    <w:tmpl w:val="731A12E6"/>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302ADC"/>
    <w:multiLevelType w:val="multilevel"/>
    <w:tmpl w:val="7C5421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2840606"/>
    <w:multiLevelType w:val="multilevel"/>
    <w:tmpl w:val="A670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9251F"/>
    <w:multiLevelType w:val="hybridMultilevel"/>
    <w:tmpl w:val="9B2C5050"/>
    <w:lvl w:ilvl="0" w:tplc="795ADB00">
      <w:start w:val="1"/>
      <w:numFmt w:val="bullet"/>
      <w:lvlText w:val="●"/>
      <w:lvlJc w:val="left"/>
      <w:pPr>
        <w:ind w:left="720" w:hanging="360"/>
      </w:pPr>
    </w:lvl>
    <w:lvl w:ilvl="1" w:tplc="4816ECAC">
      <w:start w:val="1"/>
      <w:numFmt w:val="bullet"/>
      <w:lvlText w:val="○"/>
      <w:lvlJc w:val="left"/>
      <w:pPr>
        <w:ind w:left="1440" w:hanging="360"/>
      </w:pPr>
    </w:lvl>
    <w:lvl w:ilvl="2" w:tplc="31A2936C">
      <w:start w:val="1"/>
      <w:numFmt w:val="bullet"/>
      <w:lvlText w:val="■"/>
      <w:lvlJc w:val="left"/>
      <w:pPr>
        <w:ind w:left="2160" w:hanging="360"/>
      </w:pPr>
    </w:lvl>
    <w:lvl w:ilvl="3" w:tplc="1A2661C4">
      <w:start w:val="1"/>
      <w:numFmt w:val="bullet"/>
      <w:lvlText w:val="●"/>
      <w:lvlJc w:val="left"/>
      <w:pPr>
        <w:ind w:left="2880" w:hanging="360"/>
      </w:pPr>
    </w:lvl>
    <w:lvl w:ilvl="4" w:tplc="03FE7B94">
      <w:start w:val="1"/>
      <w:numFmt w:val="bullet"/>
      <w:lvlText w:val="○"/>
      <w:lvlJc w:val="left"/>
      <w:pPr>
        <w:ind w:left="3600" w:hanging="360"/>
      </w:pPr>
    </w:lvl>
    <w:lvl w:ilvl="5" w:tplc="844276BA">
      <w:start w:val="1"/>
      <w:numFmt w:val="bullet"/>
      <w:lvlText w:val="■"/>
      <w:lvlJc w:val="left"/>
      <w:pPr>
        <w:ind w:left="4320" w:hanging="360"/>
      </w:pPr>
    </w:lvl>
    <w:lvl w:ilvl="6" w:tplc="36FE1F26">
      <w:start w:val="1"/>
      <w:numFmt w:val="bullet"/>
      <w:lvlText w:val="●"/>
      <w:lvlJc w:val="left"/>
      <w:pPr>
        <w:ind w:left="5040" w:hanging="360"/>
      </w:pPr>
    </w:lvl>
    <w:lvl w:ilvl="7" w:tplc="6F1CE4C2">
      <w:start w:val="1"/>
      <w:numFmt w:val="bullet"/>
      <w:lvlText w:val="●"/>
      <w:lvlJc w:val="left"/>
      <w:pPr>
        <w:ind w:left="5760" w:hanging="360"/>
      </w:pPr>
    </w:lvl>
    <w:lvl w:ilvl="8" w:tplc="6890CB70">
      <w:start w:val="1"/>
      <w:numFmt w:val="bullet"/>
      <w:lvlText w:val="●"/>
      <w:lvlJc w:val="left"/>
      <w:pPr>
        <w:ind w:left="6480" w:hanging="360"/>
      </w:pPr>
    </w:lvl>
  </w:abstractNum>
  <w:abstractNum w:abstractNumId="24" w15:restartNumberingAfterBreak="0">
    <w:nsid w:val="7CA34F53"/>
    <w:multiLevelType w:val="multilevel"/>
    <w:tmpl w:val="A3CEAD08"/>
    <w:lvl w:ilvl="0">
      <w:start w:val="5"/>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4"/>
  </w:num>
  <w:num w:numId="12">
    <w:abstractNumId w:val="20"/>
  </w:num>
  <w:num w:numId="13">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19"/>
  </w:num>
  <w:num w:numId="15">
    <w:abstractNumId w:val="21"/>
  </w:num>
  <w:num w:numId="16">
    <w:abstractNumId w:val="9"/>
  </w:num>
  <w:num w:numId="17">
    <w:abstractNumId w:val="9"/>
    <w:lvlOverride w:ilvl="0">
      <w:lvl w:ilvl="0">
        <w:start w:val="4"/>
        <w:numFmt w:val="decimal"/>
        <w:lvlText w:val="%1."/>
        <w:lvlJc w:val="left"/>
        <w:pPr>
          <w:ind w:left="360" w:hanging="360"/>
        </w:pPr>
        <w:rPr>
          <w:rFonts w:hint="default"/>
        </w:rPr>
      </w:lvl>
    </w:lvlOverride>
    <w:lvlOverride w:ilvl="1">
      <w:lvl w:ilvl="1">
        <w:start w:val="1"/>
        <w:numFmt w:val="decimal"/>
        <w:lvlRestart w:val="0"/>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4"/>
  </w:num>
  <w:num w:numId="19">
    <w:abstractNumId w:val="15"/>
  </w:num>
  <w:num w:numId="20">
    <w:abstractNumId w:val="13"/>
  </w:num>
  <w:num w:numId="21">
    <w:abstractNumId w:val="12"/>
  </w:num>
  <w:num w:numId="22">
    <w:abstractNumId w:val="16"/>
  </w:num>
  <w:num w:numId="23">
    <w:abstractNumId w:val="18"/>
  </w:num>
  <w:num w:numId="24">
    <w:abstractNumId w:val="10"/>
  </w:num>
  <w:num w:numId="25">
    <w:abstractNumId w:val="22"/>
  </w:num>
  <w:num w:numId="26">
    <w:abstractNumId w:val="23"/>
    <w:lvlOverride w:ilvl="0">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2075"/>
    <w:rsid w:val="00012FD9"/>
    <w:rsid w:val="00022A23"/>
    <w:rsid w:val="00034616"/>
    <w:rsid w:val="00035217"/>
    <w:rsid w:val="0006063C"/>
    <w:rsid w:val="00067130"/>
    <w:rsid w:val="000729DD"/>
    <w:rsid w:val="0008136F"/>
    <w:rsid w:val="000918DF"/>
    <w:rsid w:val="000C459B"/>
    <w:rsid w:val="000E1A6D"/>
    <w:rsid w:val="000E5E2F"/>
    <w:rsid w:val="000F2B6A"/>
    <w:rsid w:val="0010453A"/>
    <w:rsid w:val="00104F47"/>
    <w:rsid w:val="00126377"/>
    <w:rsid w:val="001302BF"/>
    <w:rsid w:val="00143086"/>
    <w:rsid w:val="0015074B"/>
    <w:rsid w:val="0015213E"/>
    <w:rsid w:val="0015546F"/>
    <w:rsid w:val="001659BA"/>
    <w:rsid w:val="001665BB"/>
    <w:rsid w:val="00194692"/>
    <w:rsid w:val="001A3F5B"/>
    <w:rsid w:val="001B0581"/>
    <w:rsid w:val="001D17BD"/>
    <w:rsid w:val="001D39E6"/>
    <w:rsid w:val="001D6AC9"/>
    <w:rsid w:val="001F2244"/>
    <w:rsid w:val="002047B4"/>
    <w:rsid w:val="00210476"/>
    <w:rsid w:val="00215BCF"/>
    <w:rsid w:val="00222DC8"/>
    <w:rsid w:val="002327AF"/>
    <w:rsid w:val="00236A7F"/>
    <w:rsid w:val="00243181"/>
    <w:rsid w:val="00251DA1"/>
    <w:rsid w:val="00255634"/>
    <w:rsid w:val="00285401"/>
    <w:rsid w:val="0029639D"/>
    <w:rsid w:val="002965BB"/>
    <w:rsid w:val="002A02CD"/>
    <w:rsid w:val="002A25A3"/>
    <w:rsid w:val="002F4766"/>
    <w:rsid w:val="0030676C"/>
    <w:rsid w:val="0030692F"/>
    <w:rsid w:val="00312489"/>
    <w:rsid w:val="003172C3"/>
    <w:rsid w:val="00324552"/>
    <w:rsid w:val="00325210"/>
    <w:rsid w:val="00326F90"/>
    <w:rsid w:val="003431D8"/>
    <w:rsid w:val="003435E0"/>
    <w:rsid w:val="0034587B"/>
    <w:rsid w:val="00352511"/>
    <w:rsid w:val="00362F2F"/>
    <w:rsid w:val="00386B69"/>
    <w:rsid w:val="00394319"/>
    <w:rsid w:val="00397E86"/>
    <w:rsid w:val="003A17C1"/>
    <w:rsid w:val="003B0568"/>
    <w:rsid w:val="003B3796"/>
    <w:rsid w:val="003C3CDC"/>
    <w:rsid w:val="003C6376"/>
    <w:rsid w:val="003E6B7A"/>
    <w:rsid w:val="003F17AE"/>
    <w:rsid w:val="003F2576"/>
    <w:rsid w:val="003F4F07"/>
    <w:rsid w:val="004002FD"/>
    <w:rsid w:val="004173B9"/>
    <w:rsid w:val="0042447D"/>
    <w:rsid w:val="00445614"/>
    <w:rsid w:val="00455784"/>
    <w:rsid w:val="00460259"/>
    <w:rsid w:val="00462344"/>
    <w:rsid w:val="00487CCE"/>
    <w:rsid w:val="00495BBE"/>
    <w:rsid w:val="004962FD"/>
    <w:rsid w:val="004F7BD6"/>
    <w:rsid w:val="005036CD"/>
    <w:rsid w:val="00506E5B"/>
    <w:rsid w:val="00506FC2"/>
    <w:rsid w:val="0051116F"/>
    <w:rsid w:val="005215A3"/>
    <w:rsid w:val="00522C67"/>
    <w:rsid w:val="00523023"/>
    <w:rsid w:val="0053343D"/>
    <w:rsid w:val="00537708"/>
    <w:rsid w:val="0055274A"/>
    <w:rsid w:val="00571EBB"/>
    <w:rsid w:val="00572094"/>
    <w:rsid w:val="00574F03"/>
    <w:rsid w:val="005776F2"/>
    <w:rsid w:val="005A0FBC"/>
    <w:rsid w:val="005B467E"/>
    <w:rsid w:val="005D15E9"/>
    <w:rsid w:val="005D6FBE"/>
    <w:rsid w:val="006057CA"/>
    <w:rsid w:val="00611C08"/>
    <w:rsid w:val="006258B7"/>
    <w:rsid w:val="00625BEB"/>
    <w:rsid w:val="006565FC"/>
    <w:rsid w:val="006612B0"/>
    <w:rsid w:val="0066179D"/>
    <w:rsid w:val="00671C66"/>
    <w:rsid w:val="00675A11"/>
    <w:rsid w:val="00677E9A"/>
    <w:rsid w:val="00685A1B"/>
    <w:rsid w:val="00685FC6"/>
    <w:rsid w:val="006A5B83"/>
    <w:rsid w:val="006A7738"/>
    <w:rsid w:val="006C6E44"/>
    <w:rsid w:val="006D5D0A"/>
    <w:rsid w:val="006E7B1B"/>
    <w:rsid w:val="006F2D24"/>
    <w:rsid w:val="006F3BB9"/>
    <w:rsid w:val="0070098A"/>
    <w:rsid w:val="0070346E"/>
    <w:rsid w:val="0072435A"/>
    <w:rsid w:val="007261EA"/>
    <w:rsid w:val="00731EEB"/>
    <w:rsid w:val="007366A2"/>
    <w:rsid w:val="00751DC8"/>
    <w:rsid w:val="00754A0D"/>
    <w:rsid w:val="007867AD"/>
    <w:rsid w:val="00790C65"/>
    <w:rsid w:val="007A3BA8"/>
    <w:rsid w:val="007B7217"/>
    <w:rsid w:val="007E07B9"/>
    <w:rsid w:val="007E15DB"/>
    <w:rsid w:val="007E3AC0"/>
    <w:rsid w:val="007F5713"/>
    <w:rsid w:val="00802EE5"/>
    <w:rsid w:val="00805909"/>
    <w:rsid w:val="00811B0E"/>
    <w:rsid w:val="00817DFB"/>
    <w:rsid w:val="008234EB"/>
    <w:rsid w:val="00824A11"/>
    <w:rsid w:val="008365A5"/>
    <w:rsid w:val="00861168"/>
    <w:rsid w:val="00862045"/>
    <w:rsid w:val="008665AE"/>
    <w:rsid w:val="008847FD"/>
    <w:rsid w:val="00892F28"/>
    <w:rsid w:val="008A38EE"/>
    <w:rsid w:val="008B1755"/>
    <w:rsid w:val="008B206F"/>
    <w:rsid w:val="008B3332"/>
    <w:rsid w:val="008B774A"/>
    <w:rsid w:val="008C0DAF"/>
    <w:rsid w:val="008C4056"/>
    <w:rsid w:val="008E3C7F"/>
    <w:rsid w:val="008E4053"/>
    <w:rsid w:val="00906065"/>
    <w:rsid w:val="00910711"/>
    <w:rsid w:val="009273C6"/>
    <w:rsid w:val="00946141"/>
    <w:rsid w:val="0094787B"/>
    <w:rsid w:val="00951D66"/>
    <w:rsid w:val="009558CD"/>
    <w:rsid w:val="00961254"/>
    <w:rsid w:val="00962E68"/>
    <w:rsid w:val="009661FD"/>
    <w:rsid w:val="00990D67"/>
    <w:rsid w:val="00993265"/>
    <w:rsid w:val="009B3D66"/>
    <w:rsid w:val="009C00AA"/>
    <w:rsid w:val="009C0E90"/>
    <w:rsid w:val="009E04B5"/>
    <w:rsid w:val="009E15E5"/>
    <w:rsid w:val="009E7F6C"/>
    <w:rsid w:val="009F0A62"/>
    <w:rsid w:val="009F2621"/>
    <w:rsid w:val="009F385F"/>
    <w:rsid w:val="00A05D12"/>
    <w:rsid w:val="00A25897"/>
    <w:rsid w:val="00A263EC"/>
    <w:rsid w:val="00A31FA7"/>
    <w:rsid w:val="00A37848"/>
    <w:rsid w:val="00A37B36"/>
    <w:rsid w:val="00A40FE2"/>
    <w:rsid w:val="00A613EC"/>
    <w:rsid w:val="00A64870"/>
    <w:rsid w:val="00A7035D"/>
    <w:rsid w:val="00A9183D"/>
    <w:rsid w:val="00AA1D8D"/>
    <w:rsid w:val="00AA7D35"/>
    <w:rsid w:val="00AB166A"/>
    <w:rsid w:val="00AC0E2C"/>
    <w:rsid w:val="00AC728D"/>
    <w:rsid w:val="00AC730D"/>
    <w:rsid w:val="00AE1BF3"/>
    <w:rsid w:val="00AE61C9"/>
    <w:rsid w:val="00AF1340"/>
    <w:rsid w:val="00B06315"/>
    <w:rsid w:val="00B13759"/>
    <w:rsid w:val="00B16DFA"/>
    <w:rsid w:val="00B3327A"/>
    <w:rsid w:val="00B3390B"/>
    <w:rsid w:val="00B36F22"/>
    <w:rsid w:val="00B4168B"/>
    <w:rsid w:val="00B4456D"/>
    <w:rsid w:val="00B4507C"/>
    <w:rsid w:val="00B47730"/>
    <w:rsid w:val="00B50088"/>
    <w:rsid w:val="00B51CDB"/>
    <w:rsid w:val="00B6348C"/>
    <w:rsid w:val="00B66BA2"/>
    <w:rsid w:val="00B71191"/>
    <w:rsid w:val="00B801A4"/>
    <w:rsid w:val="00B810D9"/>
    <w:rsid w:val="00B85AE4"/>
    <w:rsid w:val="00B949CE"/>
    <w:rsid w:val="00B95F7C"/>
    <w:rsid w:val="00B97485"/>
    <w:rsid w:val="00BA2861"/>
    <w:rsid w:val="00BC2E54"/>
    <w:rsid w:val="00BD424B"/>
    <w:rsid w:val="00BE5063"/>
    <w:rsid w:val="00BF29E6"/>
    <w:rsid w:val="00C02ED1"/>
    <w:rsid w:val="00C05838"/>
    <w:rsid w:val="00C16DE2"/>
    <w:rsid w:val="00C21548"/>
    <w:rsid w:val="00C2625D"/>
    <w:rsid w:val="00C340C7"/>
    <w:rsid w:val="00C47D52"/>
    <w:rsid w:val="00C5449F"/>
    <w:rsid w:val="00C63F34"/>
    <w:rsid w:val="00C8044C"/>
    <w:rsid w:val="00C83D15"/>
    <w:rsid w:val="00C861AC"/>
    <w:rsid w:val="00C96321"/>
    <w:rsid w:val="00CB0664"/>
    <w:rsid w:val="00CE2556"/>
    <w:rsid w:val="00CF0945"/>
    <w:rsid w:val="00D152BD"/>
    <w:rsid w:val="00D252E5"/>
    <w:rsid w:val="00D25D18"/>
    <w:rsid w:val="00D26DE4"/>
    <w:rsid w:val="00D32B7D"/>
    <w:rsid w:val="00D33DEA"/>
    <w:rsid w:val="00D37BE1"/>
    <w:rsid w:val="00D37CC6"/>
    <w:rsid w:val="00D62389"/>
    <w:rsid w:val="00D660A5"/>
    <w:rsid w:val="00D74E48"/>
    <w:rsid w:val="00D845F8"/>
    <w:rsid w:val="00D84F4A"/>
    <w:rsid w:val="00D853FA"/>
    <w:rsid w:val="00D87EBE"/>
    <w:rsid w:val="00DA7218"/>
    <w:rsid w:val="00DC1486"/>
    <w:rsid w:val="00DC6A57"/>
    <w:rsid w:val="00DD745E"/>
    <w:rsid w:val="00DE0418"/>
    <w:rsid w:val="00DE21DC"/>
    <w:rsid w:val="00DF16DA"/>
    <w:rsid w:val="00E06F27"/>
    <w:rsid w:val="00E143A4"/>
    <w:rsid w:val="00E201AE"/>
    <w:rsid w:val="00E24DCE"/>
    <w:rsid w:val="00E33A1E"/>
    <w:rsid w:val="00E42C0A"/>
    <w:rsid w:val="00E507B6"/>
    <w:rsid w:val="00E50DE5"/>
    <w:rsid w:val="00E71898"/>
    <w:rsid w:val="00E73840"/>
    <w:rsid w:val="00E80435"/>
    <w:rsid w:val="00E82F0E"/>
    <w:rsid w:val="00E9415D"/>
    <w:rsid w:val="00EA026A"/>
    <w:rsid w:val="00EA0B35"/>
    <w:rsid w:val="00EA6481"/>
    <w:rsid w:val="00EC3098"/>
    <w:rsid w:val="00EC3E8D"/>
    <w:rsid w:val="00EC577C"/>
    <w:rsid w:val="00ED176E"/>
    <w:rsid w:val="00ED5731"/>
    <w:rsid w:val="00EE05FD"/>
    <w:rsid w:val="00EF708A"/>
    <w:rsid w:val="00F0110C"/>
    <w:rsid w:val="00F07043"/>
    <w:rsid w:val="00F46ED2"/>
    <w:rsid w:val="00F53206"/>
    <w:rsid w:val="00F6659B"/>
    <w:rsid w:val="00F666F7"/>
    <w:rsid w:val="00F704F5"/>
    <w:rsid w:val="00F84DF3"/>
    <w:rsid w:val="00F97984"/>
    <w:rsid w:val="00FA6A52"/>
    <w:rsid w:val="00FC0389"/>
    <w:rsid w:val="00FC693F"/>
    <w:rsid w:val="00FD4014"/>
    <w:rsid w:val="00FD42D2"/>
    <w:rsid w:val="00FD6537"/>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7F67DE"/>
  <w14:defaultImageDpi w14:val="300"/>
  <w15:docId w15:val="{99DA2661-E8CE-4416-95B9-52D1D06A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F0110C"/>
    <w:rPr>
      <w:sz w:val="16"/>
      <w:szCs w:val="16"/>
    </w:rPr>
  </w:style>
  <w:style w:type="paragraph" w:styleId="CommentText">
    <w:name w:val="annotation text"/>
    <w:basedOn w:val="Normal"/>
    <w:link w:val="CommentTextChar"/>
    <w:uiPriority w:val="99"/>
    <w:unhideWhenUsed/>
    <w:rsid w:val="00F0110C"/>
    <w:pPr>
      <w:spacing w:line="240" w:lineRule="auto"/>
    </w:pPr>
    <w:rPr>
      <w:szCs w:val="20"/>
    </w:rPr>
  </w:style>
  <w:style w:type="character" w:customStyle="1" w:styleId="CommentTextChar">
    <w:name w:val="Comment Text Char"/>
    <w:basedOn w:val="DefaultParagraphFont"/>
    <w:link w:val="CommentText"/>
    <w:uiPriority w:val="99"/>
    <w:rsid w:val="00F0110C"/>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F0110C"/>
    <w:rPr>
      <w:b/>
      <w:bCs/>
    </w:rPr>
  </w:style>
  <w:style w:type="character" w:customStyle="1" w:styleId="CommentSubjectChar">
    <w:name w:val="Comment Subject Char"/>
    <w:basedOn w:val="CommentTextChar"/>
    <w:link w:val="CommentSubject"/>
    <w:uiPriority w:val="99"/>
    <w:semiHidden/>
    <w:rsid w:val="00F0110C"/>
    <w:rPr>
      <w:rFonts w:ascii="Arial" w:eastAsia="Arial" w:hAnsi="Arial"/>
      <w:b/>
      <w:bCs/>
      <w:sz w:val="20"/>
      <w:szCs w:val="20"/>
    </w:rPr>
  </w:style>
  <w:style w:type="paragraph" w:styleId="Revision">
    <w:name w:val="Revision"/>
    <w:hidden/>
    <w:uiPriority w:val="99"/>
    <w:semiHidden/>
    <w:rsid w:val="00F0110C"/>
    <w:pPr>
      <w:spacing w:after="0" w:line="240" w:lineRule="auto"/>
    </w:pPr>
    <w:rPr>
      <w:rFonts w:ascii="Arial" w:eastAsia="Arial" w:hAnsi="Arial"/>
      <w:sz w:val="20"/>
    </w:rPr>
  </w:style>
  <w:style w:type="character" w:styleId="Hyperlink">
    <w:name w:val="Hyperlink"/>
    <w:uiPriority w:val="99"/>
    <w:rsid w:val="00BC2E54"/>
    <w:rPr>
      <w:u w:val="single"/>
    </w:rPr>
  </w:style>
  <w:style w:type="paragraph" w:styleId="NormalWeb">
    <w:name w:val="Normal (Web)"/>
    <w:basedOn w:val="Normal"/>
    <w:uiPriority w:val="99"/>
    <w:unhideWhenUsed/>
    <w:rsid w:val="00C544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2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9E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68">
      <w:bodyDiv w:val="1"/>
      <w:marLeft w:val="0"/>
      <w:marRight w:val="0"/>
      <w:marTop w:val="0"/>
      <w:marBottom w:val="0"/>
      <w:divBdr>
        <w:top w:val="none" w:sz="0" w:space="0" w:color="auto"/>
        <w:left w:val="none" w:sz="0" w:space="0" w:color="auto"/>
        <w:bottom w:val="none" w:sz="0" w:space="0" w:color="auto"/>
        <w:right w:val="none" w:sz="0" w:space="0" w:color="auto"/>
      </w:divBdr>
    </w:div>
    <w:div w:id="213733301">
      <w:bodyDiv w:val="1"/>
      <w:marLeft w:val="0"/>
      <w:marRight w:val="0"/>
      <w:marTop w:val="0"/>
      <w:marBottom w:val="0"/>
      <w:divBdr>
        <w:top w:val="none" w:sz="0" w:space="0" w:color="auto"/>
        <w:left w:val="none" w:sz="0" w:space="0" w:color="auto"/>
        <w:bottom w:val="none" w:sz="0" w:space="0" w:color="auto"/>
        <w:right w:val="none" w:sz="0" w:space="0" w:color="auto"/>
      </w:divBdr>
    </w:div>
    <w:div w:id="282351463">
      <w:bodyDiv w:val="1"/>
      <w:marLeft w:val="0"/>
      <w:marRight w:val="0"/>
      <w:marTop w:val="0"/>
      <w:marBottom w:val="0"/>
      <w:divBdr>
        <w:top w:val="none" w:sz="0" w:space="0" w:color="auto"/>
        <w:left w:val="none" w:sz="0" w:space="0" w:color="auto"/>
        <w:bottom w:val="none" w:sz="0" w:space="0" w:color="auto"/>
        <w:right w:val="none" w:sz="0" w:space="0" w:color="auto"/>
      </w:divBdr>
    </w:div>
    <w:div w:id="334496945">
      <w:bodyDiv w:val="1"/>
      <w:marLeft w:val="0"/>
      <w:marRight w:val="0"/>
      <w:marTop w:val="0"/>
      <w:marBottom w:val="0"/>
      <w:divBdr>
        <w:top w:val="none" w:sz="0" w:space="0" w:color="auto"/>
        <w:left w:val="none" w:sz="0" w:space="0" w:color="auto"/>
        <w:bottom w:val="none" w:sz="0" w:space="0" w:color="auto"/>
        <w:right w:val="none" w:sz="0" w:space="0" w:color="auto"/>
      </w:divBdr>
    </w:div>
    <w:div w:id="346637464">
      <w:bodyDiv w:val="1"/>
      <w:marLeft w:val="0"/>
      <w:marRight w:val="0"/>
      <w:marTop w:val="0"/>
      <w:marBottom w:val="0"/>
      <w:divBdr>
        <w:top w:val="none" w:sz="0" w:space="0" w:color="auto"/>
        <w:left w:val="none" w:sz="0" w:space="0" w:color="auto"/>
        <w:bottom w:val="none" w:sz="0" w:space="0" w:color="auto"/>
        <w:right w:val="none" w:sz="0" w:space="0" w:color="auto"/>
      </w:divBdr>
      <w:divsChild>
        <w:div w:id="506289309">
          <w:marLeft w:val="0"/>
          <w:marRight w:val="0"/>
          <w:marTop w:val="0"/>
          <w:marBottom w:val="0"/>
          <w:divBdr>
            <w:top w:val="none" w:sz="0" w:space="0" w:color="auto"/>
            <w:left w:val="none" w:sz="0" w:space="0" w:color="auto"/>
            <w:bottom w:val="none" w:sz="0" w:space="0" w:color="auto"/>
            <w:right w:val="none" w:sz="0" w:space="0" w:color="auto"/>
          </w:divBdr>
          <w:divsChild>
            <w:div w:id="149754168">
              <w:marLeft w:val="0"/>
              <w:marRight w:val="0"/>
              <w:marTop w:val="0"/>
              <w:marBottom w:val="0"/>
              <w:divBdr>
                <w:top w:val="none" w:sz="0" w:space="0" w:color="auto"/>
                <w:left w:val="none" w:sz="0" w:space="0" w:color="auto"/>
                <w:bottom w:val="none" w:sz="0" w:space="0" w:color="auto"/>
                <w:right w:val="none" w:sz="0" w:space="0" w:color="auto"/>
              </w:divBdr>
              <w:divsChild>
                <w:div w:id="1433013312">
                  <w:marLeft w:val="0"/>
                  <w:marRight w:val="0"/>
                  <w:marTop w:val="0"/>
                  <w:marBottom w:val="0"/>
                  <w:divBdr>
                    <w:top w:val="none" w:sz="0" w:space="0" w:color="auto"/>
                    <w:left w:val="none" w:sz="0" w:space="0" w:color="auto"/>
                    <w:bottom w:val="none" w:sz="0" w:space="0" w:color="auto"/>
                    <w:right w:val="none" w:sz="0" w:space="0" w:color="auto"/>
                  </w:divBdr>
                  <w:divsChild>
                    <w:div w:id="1193226489">
                      <w:marLeft w:val="0"/>
                      <w:marRight w:val="0"/>
                      <w:marTop w:val="0"/>
                      <w:marBottom w:val="0"/>
                      <w:divBdr>
                        <w:top w:val="none" w:sz="0" w:space="0" w:color="auto"/>
                        <w:left w:val="none" w:sz="0" w:space="0" w:color="auto"/>
                        <w:bottom w:val="none" w:sz="0" w:space="0" w:color="auto"/>
                        <w:right w:val="none" w:sz="0" w:space="0" w:color="auto"/>
                      </w:divBdr>
                      <w:divsChild>
                        <w:div w:id="2023621804">
                          <w:marLeft w:val="0"/>
                          <w:marRight w:val="0"/>
                          <w:marTop w:val="0"/>
                          <w:marBottom w:val="0"/>
                          <w:divBdr>
                            <w:top w:val="none" w:sz="0" w:space="0" w:color="auto"/>
                            <w:left w:val="none" w:sz="0" w:space="0" w:color="auto"/>
                            <w:bottom w:val="none" w:sz="0" w:space="0" w:color="auto"/>
                            <w:right w:val="none" w:sz="0" w:space="0" w:color="auto"/>
                          </w:divBdr>
                          <w:divsChild>
                            <w:div w:id="915628699">
                              <w:marLeft w:val="0"/>
                              <w:marRight w:val="0"/>
                              <w:marTop w:val="0"/>
                              <w:marBottom w:val="0"/>
                              <w:divBdr>
                                <w:top w:val="none" w:sz="0" w:space="0" w:color="auto"/>
                                <w:left w:val="none" w:sz="0" w:space="0" w:color="auto"/>
                                <w:bottom w:val="none" w:sz="0" w:space="0" w:color="auto"/>
                                <w:right w:val="none" w:sz="0" w:space="0" w:color="auto"/>
                              </w:divBdr>
                              <w:divsChild>
                                <w:div w:id="753555120">
                                  <w:marLeft w:val="0"/>
                                  <w:marRight w:val="0"/>
                                  <w:marTop w:val="0"/>
                                  <w:marBottom w:val="0"/>
                                  <w:divBdr>
                                    <w:top w:val="none" w:sz="0" w:space="0" w:color="auto"/>
                                    <w:left w:val="none" w:sz="0" w:space="0" w:color="auto"/>
                                    <w:bottom w:val="none" w:sz="0" w:space="0" w:color="auto"/>
                                    <w:right w:val="none" w:sz="0" w:space="0" w:color="auto"/>
                                  </w:divBdr>
                                  <w:divsChild>
                                    <w:div w:id="16515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686299">
      <w:bodyDiv w:val="1"/>
      <w:marLeft w:val="0"/>
      <w:marRight w:val="0"/>
      <w:marTop w:val="0"/>
      <w:marBottom w:val="0"/>
      <w:divBdr>
        <w:top w:val="none" w:sz="0" w:space="0" w:color="auto"/>
        <w:left w:val="none" w:sz="0" w:space="0" w:color="auto"/>
        <w:bottom w:val="none" w:sz="0" w:space="0" w:color="auto"/>
        <w:right w:val="none" w:sz="0" w:space="0" w:color="auto"/>
      </w:divBdr>
      <w:divsChild>
        <w:div w:id="1219559954">
          <w:marLeft w:val="0"/>
          <w:marRight w:val="0"/>
          <w:marTop w:val="0"/>
          <w:marBottom w:val="0"/>
          <w:divBdr>
            <w:top w:val="none" w:sz="0" w:space="0" w:color="auto"/>
            <w:left w:val="none" w:sz="0" w:space="0" w:color="auto"/>
            <w:bottom w:val="none" w:sz="0" w:space="0" w:color="auto"/>
            <w:right w:val="none" w:sz="0" w:space="0" w:color="auto"/>
          </w:divBdr>
          <w:divsChild>
            <w:div w:id="288247278">
              <w:marLeft w:val="0"/>
              <w:marRight w:val="0"/>
              <w:marTop w:val="0"/>
              <w:marBottom w:val="0"/>
              <w:divBdr>
                <w:top w:val="none" w:sz="0" w:space="0" w:color="auto"/>
                <w:left w:val="none" w:sz="0" w:space="0" w:color="auto"/>
                <w:bottom w:val="none" w:sz="0" w:space="0" w:color="auto"/>
                <w:right w:val="none" w:sz="0" w:space="0" w:color="auto"/>
              </w:divBdr>
              <w:divsChild>
                <w:div w:id="1875342902">
                  <w:marLeft w:val="0"/>
                  <w:marRight w:val="0"/>
                  <w:marTop w:val="0"/>
                  <w:marBottom w:val="0"/>
                  <w:divBdr>
                    <w:top w:val="none" w:sz="0" w:space="0" w:color="auto"/>
                    <w:left w:val="none" w:sz="0" w:space="0" w:color="auto"/>
                    <w:bottom w:val="none" w:sz="0" w:space="0" w:color="auto"/>
                    <w:right w:val="none" w:sz="0" w:space="0" w:color="auto"/>
                  </w:divBdr>
                  <w:divsChild>
                    <w:div w:id="619796419">
                      <w:marLeft w:val="0"/>
                      <w:marRight w:val="0"/>
                      <w:marTop w:val="0"/>
                      <w:marBottom w:val="0"/>
                      <w:divBdr>
                        <w:top w:val="none" w:sz="0" w:space="0" w:color="auto"/>
                        <w:left w:val="none" w:sz="0" w:space="0" w:color="auto"/>
                        <w:bottom w:val="none" w:sz="0" w:space="0" w:color="auto"/>
                        <w:right w:val="none" w:sz="0" w:space="0" w:color="auto"/>
                      </w:divBdr>
                      <w:divsChild>
                        <w:div w:id="1755204074">
                          <w:marLeft w:val="0"/>
                          <w:marRight w:val="0"/>
                          <w:marTop w:val="0"/>
                          <w:marBottom w:val="0"/>
                          <w:divBdr>
                            <w:top w:val="none" w:sz="0" w:space="0" w:color="auto"/>
                            <w:left w:val="none" w:sz="0" w:space="0" w:color="auto"/>
                            <w:bottom w:val="none" w:sz="0" w:space="0" w:color="auto"/>
                            <w:right w:val="none" w:sz="0" w:space="0" w:color="auto"/>
                          </w:divBdr>
                          <w:divsChild>
                            <w:div w:id="1559510647">
                              <w:marLeft w:val="0"/>
                              <w:marRight w:val="0"/>
                              <w:marTop w:val="0"/>
                              <w:marBottom w:val="0"/>
                              <w:divBdr>
                                <w:top w:val="none" w:sz="0" w:space="0" w:color="auto"/>
                                <w:left w:val="none" w:sz="0" w:space="0" w:color="auto"/>
                                <w:bottom w:val="none" w:sz="0" w:space="0" w:color="auto"/>
                                <w:right w:val="none" w:sz="0" w:space="0" w:color="auto"/>
                              </w:divBdr>
                              <w:divsChild>
                                <w:div w:id="1578051579">
                                  <w:marLeft w:val="0"/>
                                  <w:marRight w:val="0"/>
                                  <w:marTop w:val="0"/>
                                  <w:marBottom w:val="0"/>
                                  <w:divBdr>
                                    <w:top w:val="none" w:sz="0" w:space="0" w:color="auto"/>
                                    <w:left w:val="none" w:sz="0" w:space="0" w:color="auto"/>
                                    <w:bottom w:val="none" w:sz="0" w:space="0" w:color="auto"/>
                                    <w:right w:val="none" w:sz="0" w:space="0" w:color="auto"/>
                                  </w:divBdr>
                                  <w:divsChild>
                                    <w:div w:id="2137748274">
                                      <w:marLeft w:val="0"/>
                                      <w:marRight w:val="0"/>
                                      <w:marTop w:val="0"/>
                                      <w:marBottom w:val="0"/>
                                      <w:divBdr>
                                        <w:top w:val="none" w:sz="0" w:space="0" w:color="auto"/>
                                        <w:left w:val="none" w:sz="0" w:space="0" w:color="auto"/>
                                        <w:bottom w:val="none" w:sz="0" w:space="0" w:color="auto"/>
                                        <w:right w:val="none" w:sz="0" w:space="0" w:color="auto"/>
                                      </w:divBdr>
                                      <w:divsChild>
                                        <w:div w:id="1031491966">
                                          <w:marLeft w:val="0"/>
                                          <w:marRight w:val="0"/>
                                          <w:marTop w:val="0"/>
                                          <w:marBottom w:val="0"/>
                                          <w:divBdr>
                                            <w:top w:val="none" w:sz="0" w:space="0" w:color="auto"/>
                                            <w:left w:val="none" w:sz="0" w:space="0" w:color="auto"/>
                                            <w:bottom w:val="none" w:sz="0" w:space="0" w:color="auto"/>
                                            <w:right w:val="none" w:sz="0" w:space="0" w:color="auto"/>
                                          </w:divBdr>
                                          <w:divsChild>
                                            <w:div w:id="959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71190">
          <w:marLeft w:val="0"/>
          <w:marRight w:val="0"/>
          <w:marTop w:val="0"/>
          <w:marBottom w:val="0"/>
          <w:divBdr>
            <w:top w:val="none" w:sz="0" w:space="0" w:color="auto"/>
            <w:left w:val="none" w:sz="0" w:space="0" w:color="auto"/>
            <w:bottom w:val="none" w:sz="0" w:space="0" w:color="auto"/>
            <w:right w:val="none" w:sz="0" w:space="0" w:color="auto"/>
          </w:divBdr>
          <w:divsChild>
            <w:div w:id="331763801">
              <w:marLeft w:val="0"/>
              <w:marRight w:val="0"/>
              <w:marTop w:val="0"/>
              <w:marBottom w:val="0"/>
              <w:divBdr>
                <w:top w:val="none" w:sz="0" w:space="0" w:color="auto"/>
                <w:left w:val="none" w:sz="0" w:space="0" w:color="auto"/>
                <w:bottom w:val="none" w:sz="0" w:space="0" w:color="auto"/>
                <w:right w:val="none" w:sz="0" w:space="0" w:color="auto"/>
              </w:divBdr>
              <w:divsChild>
                <w:div w:id="394665346">
                  <w:marLeft w:val="0"/>
                  <w:marRight w:val="0"/>
                  <w:marTop w:val="0"/>
                  <w:marBottom w:val="0"/>
                  <w:divBdr>
                    <w:top w:val="none" w:sz="0" w:space="0" w:color="auto"/>
                    <w:left w:val="none" w:sz="0" w:space="0" w:color="auto"/>
                    <w:bottom w:val="none" w:sz="0" w:space="0" w:color="auto"/>
                    <w:right w:val="none" w:sz="0" w:space="0" w:color="auto"/>
                  </w:divBdr>
                  <w:divsChild>
                    <w:div w:id="75247930">
                      <w:marLeft w:val="0"/>
                      <w:marRight w:val="0"/>
                      <w:marTop w:val="0"/>
                      <w:marBottom w:val="0"/>
                      <w:divBdr>
                        <w:top w:val="none" w:sz="0" w:space="0" w:color="auto"/>
                        <w:left w:val="none" w:sz="0" w:space="0" w:color="auto"/>
                        <w:bottom w:val="none" w:sz="0" w:space="0" w:color="auto"/>
                        <w:right w:val="none" w:sz="0" w:space="0" w:color="auto"/>
                      </w:divBdr>
                      <w:divsChild>
                        <w:div w:id="953706984">
                          <w:marLeft w:val="0"/>
                          <w:marRight w:val="0"/>
                          <w:marTop w:val="0"/>
                          <w:marBottom w:val="0"/>
                          <w:divBdr>
                            <w:top w:val="none" w:sz="0" w:space="0" w:color="auto"/>
                            <w:left w:val="none" w:sz="0" w:space="0" w:color="auto"/>
                            <w:bottom w:val="none" w:sz="0" w:space="0" w:color="auto"/>
                            <w:right w:val="none" w:sz="0" w:space="0" w:color="auto"/>
                          </w:divBdr>
                          <w:divsChild>
                            <w:div w:id="1684670082">
                              <w:marLeft w:val="0"/>
                              <w:marRight w:val="0"/>
                              <w:marTop w:val="0"/>
                              <w:marBottom w:val="0"/>
                              <w:divBdr>
                                <w:top w:val="none" w:sz="0" w:space="0" w:color="auto"/>
                                <w:left w:val="none" w:sz="0" w:space="0" w:color="auto"/>
                                <w:bottom w:val="none" w:sz="0" w:space="0" w:color="auto"/>
                                <w:right w:val="none" w:sz="0" w:space="0" w:color="auto"/>
                              </w:divBdr>
                              <w:divsChild>
                                <w:div w:id="239146005">
                                  <w:marLeft w:val="0"/>
                                  <w:marRight w:val="0"/>
                                  <w:marTop w:val="0"/>
                                  <w:marBottom w:val="0"/>
                                  <w:divBdr>
                                    <w:top w:val="none" w:sz="0" w:space="0" w:color="auto"/>
                                    <w:left w:val="none" w:sz="0" w:space="0" w:color="auto"/>
                                    <w:bottom w:val="none" w:sz="0" w:space="0" w:color="auto"/>
                                    <w:right w:val="none" w:sz="0" w:space="0" w:color="auto"/>
                                  </w:divBdr>
                                  <w:divsChild>
                                    <w:div w:id="2056270802">
                                      <w:marLeft w:val="0"/>
                                      <w:marRight w:val="0"/>
                                      <w:marTop w:val="0"/>
                                      <w:marBottom w:val="0"/>
                                      <w:divBdr>
                                        <w:top w:val="none" w:sz="0" w:space="0" w:color="auto"/>
                                        <w:left w:val="none" w:sz="0" w:space="0" w:color="auto"/>
                                        <w:bottom w:val="none" w:sz="0" w:space="0" w:color="auto"/>
                                        <w:right w:val="none" w:sz="0" w:space="0" w:color="auto"/>
                                      </w:divBdr>
                                      <w:divsChild>
                                        <w:div w:id="1752387356">
                                          <w:marLeft w:val="0"/>
                                          <w:marRight w:val="0"/>
                                          <w:marTop w:val="0"/>
                                          <w:marBottom w:val="0"/>
                                          <w:divBdr>
                                            <w:top w:val="none" w:sz="0" w:space="0" w:color="auto"/>
                                            <w:left w:val="none" w:sz="0" w:space="0" w:color="auto"/>
                                            <w:bottom w:val="none" w:sz="0" w:space="0" w:color="auto"/>
                                            <w:right w:val="none" w:sz="0" w:space="0" w:color="auto"/>
                                          </w:divBdr>
                                          <w:divsChild>
                                            <w:div w:id="936446742">
                                              <w:marLeft w:val="0"/>
                                              <w:marRight w:val="0"/>
                                              <w:marTop w:val="0"/>
                                              <w:marBottom w:val="0"/>
                                              <w:divBdr>
                                                <w:top w:val="none" w:sz="0" w:space="0" w:color="auto"/>
                                                <w:left w:val="none" w:sz="0" w:space="0" w:color="auto"/>
                                                <w:bottom w:val="none" w:sz="0" w:space="0" w:color="auto"/>
                                                <w:right w:val="none" w:sz="0" w:space="0" w:color="auto"/>
                                              </w:divBdr>
                                              <w:divsChild>
                                                <w:div w:id="1650013940">
                                                  <w:marLeft w:val="0"/>
                                                  <w:marRight w:val="0"/>
                                                  <w:marTop w:val="0"/>
                                                  <w:marBottom w:val="0"/>
                                                  <w:divBdr>
                                                    <w:top w:val="none" w:sz="0" w:space="0" w:color="auto"/>
                                                    <w:left w:val="none" w:sz="0" w:space="0" w:color="auto"/>
                                                    <w:bottom w:val="none" w:sz="0" w:space="0" w:color="auto"/>
                                                    <w:right w:val="none" w:sz="0" w:space="0" w:color="auto"/>
                                                  </w:divBdr>
                                                  <w:divsChild>
                                                    <w:div w:id="883830993">
                                                      <w:marLeft w:val="0"/>
                                                      <w:marRight w:val="0"/>
                                                      <w:marTop w:val="0"/>
                                                      <w:marBottom w:val="0"/>
                                                      <w:divBdr>
                                                        <w:top w:val="none" w:sz="0" w:space="0" w:color="auto"/>
                                                        <w:left w:val="none" w:sz="0" w:space="0" w:color="auto"/>
                                                        <w:bottom w:val="none" w:sz="0" w:space="0" w:color="auto"/>
                                                        <w:right w:val="none" w:sz="0" w:space="0" w:color="auto"/>
                                                      </w:divBdr>
                                                      <w:divsChild>
                                                        <w:div w:id="148668012">
                                                          <w:marLeft w:val="0"/>
                                                          <w:marRight w:val="0"/>
                                                          <w:marTop w:val="0"/>
                                                          <w:marBottom w:val="0"/>
                                                          <w:divBdr>
                                                            <w:top w:val="none" w:sz="0" w:space="0" w:color="auto"/>
                                                            <w:left w:val="none" w:sz="0" w:space="0" w:color="auto"/>
                                                            <w:bottom w:val="none" w:sz="0" w:space="0" w:color="auto"/>
                                                            <w:right w:val="none" w:sz="0" w:space="0" w:color="auto"/>
                                                          </w:divBdr>
                                                          <w:divsChild>
                                                            <w:div w:id="1617442386">
                                                              <w:marLeft w:val="0"/>
                                                              <w:marRight w:val="0"/>
                                                              <w:marTop w:val="0"/>
                                                              <w:marBottom w:val="0"/>
                                                              <w:divBdr>
                                                                <w:top w:val="none" w:sz="0" w:space="0" w:color="auto"/>
                                                                <w:left w:val="none" w:sz="0" w:space="0" w:color="auto"/>
                                                                <w:bottom w:val="none" w:sz="0" w:space="0" w:color="auto"/>
                                                                <w:right w:val="none" w:sz="0" w:space="0" w:color="auto"/>
                                                              </w:divBdr>
                                                              <w:divsChild>
                                                                <w:div w:id="19480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7170767">
      <w:bodyDiv w:val="1"/>
      <w:marLeft w:val="0"/>
      <w:marRight w:val="0"/>
      <w:marTop w:val="0"/>
      <w:marBottom w:val="0"/>
      <w:divBdr>
        <w:top w:val="none" w:sz="0" w:space="0" w:color="auto"/>
        <w:left w:val="none" w:sz="0" w:space="0" w:color="auto"/>
        <w:bottom w:val="none" w:sz="0" w:space="0" w:color="auto"/>
        <w:right w:val="none" w:sz="0" w:space="0" w:color="auto"/>
      </w:divBdr>
    </w:div>
    <w:div w:id="606349511">
      <w:bodyDiv w:val="1"/>
      <w:marLeft w:val="0"/>
      <w:marRight w:val="0"/>
      <w:marTop w:val="0"/>
      <w:marBottom w:val="0"/>
      <w:divBdr>
        <w:top w:val="none" w:sz="0" w:space="0" w:color="auto"/>
        <w:left w:val="none" w:sz="0" w:space="0" w:color="auto"/>
        <w:bottom w:val="none" w:sz="0" w:space="0" w:color="auto"/>
        <w:right w:val="none" w:sz="0" w:space="0" w:color="auto"/>
      </w:divBdr>
    </w:div>
    <w:div w:id="1937134987">
      <w:bodyDiv w:val="1"/>
      <w:marLeft w:val="0"/>
      <w:marRight w:val="0"/>
      <w:marTop w:val="0"/>
      <w:marBottom w:val="0"/>
      <w:divBdr>
        <w:top w:val="none" w:sz="0" w:space="0" w:color="auto"/>
        <w:left w:val="none" w:sz="0" w:space="0" w:color="auto"/>
        <w:bottom w:val="none" w:sz="0" w:space="0" w:color="auto"/>
        <w:right w:val="none" w:sz="0" w:space="0" w:color="auto"/>
      </w:divBdr>
    </w:div>
    <w:div w:id="1995796996">
      <w:bodyDiv w:val="1"/>
      <w:marLeft w:val="0"/>
      <w:marRight w:val="0"/>
      <w:marTop w:val="0"/>
      <w:marBottom w:val="0"/>
      <w:divBdr>
        <w:top w:val="none" w:sz="0" w:space="0" w:color="auto"/>
        <w:left w:val="none" w:sz="0" w:space="0" w:color="auto"/>
        <w:bottom w:val="none" w:sz="0" w:space="0" w:color="auto"/>
        <w:right w:val="none" w:sz="0" w:space="0" w:color="auto"/>
      </w:divBdr>
    </w:div>
    <w:div w:id="2039431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ldbank.org/en/projects-operations/products-and-services/grievance-redress-serv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8" ma:contentTypeDescription="Create a new document." ma:contentTypeScope="" ma:versionID="f107f144c86e265c1c2a7c792c293ac6">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6c1c54e7079eab345dfd84f058db64f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dfdf4-6ccf-48d8-91a4-cfce4a51376a">
      <Terms xmlns="http://schemas.microsoft.com/office/infopath/2007/PartnerControls"/>
    </lcf76f155ced4ddcb4097134ff3c332f>
    <TaxCatchAll xmlns="46ed41ed-5630-4425-92a3-24f6af0bfa5e" xsi:nil="true"/>
  </documentManagement>
</p:properties>
</file>

<file path=customXml/itemProps1.xml><?xml version="1.0" encoding="utf-8"?>
<ds:datastoreItem xmlns:ds="http://schemas.openxmlformats.org/officeDocument/2006/customXml" ds:itemID="{A22D2D8A-7BD5-4C0E-88A7-50A10FDAF378}">
  <ds:schemaRefs>
    <ds:schemaRef ds:uri="http://schemas.openxmlformats.org/officeDocument/2006/bibliography"/>
  </ds:schemaRefs>
</ds:datastoreItem>
</file>

<file path=customXml/itemProps2.xml><?xml version="1.0" encoding="utf-8"?>
<ds:datastoreItem xmlns:ds="http://schemas.openxmlformats.org/officeDocument/2006/customXml" ds:itemID="{4942D53F-D4F9-41A0-B298-2E4C144BC82F}"/>
</file>

<file path=customXml/itemProps3.xml><?xml version="1.0" encoding="utf-8"?>
<ds:datastoreItem xmlns:ds="http://schemas.openxmlformats.org/officeDocument/2006/customXml" ds:itemID="{F857883F-2CFC-486E-B97A-5E53306AD465}"/>
</file>

<file path=customXml/itemProps4.xml><?xml version="1.0" encoding="utf-8"?>
<ds:datastoreItem xmlns:ds="http://schemas.openxmlformats.org/officeDocument/2006/customXml" ds:itemID="{224D5B6A-D52D-48F5-81D7-B932AD01243D}"/>
</file>

<file path=docProps/app.xml><?xml version="1.0" encoding="utf-8"?>
<Properties xmlns="http://schemas.openxmlformats.org/officeDocument/2006/extended-properties" xmlns:vt="http://schemas.openxmlformats.org/officeDocument/2006/docPropsVTypes">
  <Template>Normal</Template>
  <TotalTime>49</TotalTime>
  <Pages>25</Pages>
  <Words>9089</Words>
  <Characters>51812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generated by python-docx</dc:description>
  <cp:lastModifiedBy>KORISNIK</cp:lastModifiedBy>
  <cp:revision>17</cp:revision>
  <cp:lastPrinted>2026-05-19T11:05:00Z</cp:lastPrinted>
  <dcterms:created xsi:type="dcterms:W3CDTF">2026-05-22T14:26:00Z</dcterms:created>
  <dcterms:modified xsi:type="dcterms:W3CDTF">2026-05-23T10:37:00Z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70f9cf7,4617092a,fda60d7</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2026-05-11T10:34:17Z</vt:lpwstr>
  </property>
  <property fmtid="{D5CDD505-2E9C-101B-9397-08002B2CF9AE}" pid="7" name="MSIP_Label_f1bf45b6-5649-4236-82a3-f45024cd282e_Method">
    <vt:lpwstr>Privileged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d3216281-5147-4a5f-832b-37466f2c7cad</vt:lpwstr>
  </property>
  <property fmtid="{D5CDD505-2E9C-101B-9397-08002B2CF9AE}" pid="11" name="MSIP_Label_f1bf45b6-5649-4236-82a3-f45024cd282e_ContentBits">
    <vt:lpwstr>2</vt:lpwstr>
  </property>
  <property fmtid="{D5CDD505-2E9C-101B-9397-08002B2CF9AE}" pid="12" name="MSIP_Label_f1bf45b6-5649-4236-82a3-f45024cd282e_Tag">
    <vt:lpwstr>10, 0, 1, 1</vt:lpwstr>
  </property>
  <property fmtid="{D5CDD505-2E9C-101B-9397-08002B2CF9AE}" pid="13" name="ContentTypeId">
    <vt:lpwstr>0x01010059E008727CEB0846AA7FA452435DCA6B</vt:lpwstr>
  </property>
</Properties>
</file>